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71</w:t>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highlight w:val="none"/>
              </w:rPr>
            </w:r>
          </w:p>
          <w:p>
            <w:pPr>
              <w:contextualSpacing/>
              <w:jc w:val="center"/>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contextualSpacing/>
        <w:jc w:val="center"/>
        <w:spacing w:line="240" w:lineRule="auto"/>
        <w:rPr>
          <w:rFonts w:ascii="FreeSerif" w:hAnsi="FreeSerif" w:cs="FreeSerif"/>
          <w:vanish/>
          <w:sz w:val="28"/>
          <w:szCs w:val="28"/>
        </w:rPr>
      </w:pPr>
      <w:r>
        <w:rPr>
          <w:rFonts w:ascii="FreeSerif" w:hAnsi="FreeSerif" w:eastAsia="FreeSerif" w:cs="FreeSerif"/>
          <w:sz w:val="28"/>
          <w:szCs w:val="28"/>
        </w:rPr>
        <w:t xml:space="preserve">                                                                                                             Тысяч рублей</w:t>
      </w:r>
      <w:r>
        <w:rPr>
          <w:rFonts w:ascii="FreeSerif" w:hAnsi="FreeSerif" w:cs="FreeSerif"/>
          <w:vanish/>
          <w:sz w:val="28"/>
          <w:szCs w:val="28"/>
        </w:rPr>
      </w:r>
    </w:p>
    <w:p>
      <w:pPr>
        <w:contextualSpacing/>
        <w:jc w:val="right"/>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bl>
      <w:tblPr>
        <w:tblStyle w:val="688"/>
        <w:tblW w:w="9496" w:type="dxa"/>
        <w:tblInd w:w="108" w:type="dxa"/>
        <w:tblLayout w:type="fixed"/>
        <w:tblLook w:val="04A0" w:firstRow="1" w:lastRow="0" w:firstColumn="1" w:lastColumn="0" w:noHBand="0" w:noVBand="1"/>
      </w:tblPr>
      <w:tblGrid>
        <w:gridCol w:w="4960"/>
        <w:gridCol w:w="2268"/>
        <w:gridCol w:w="1134"/>
        <w:gridCol w:w="1134"/>
      </w:tblGrid>
      <w:tr>
        <w:tblPrEx/>
        <w:trPr>
          <w:trHeight w:val="315"/>
        </w:trPr>
        <w:tc>
          <w:tcPr>
            <w:tcW w:w="4960"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r>
            <w:r>
              <w:rPr>
                <w:rFonts w:ascii="FreeSerif" w:hAnsi="FreeSerif" w:cs="FreeSerif"/>
                <w:bCs/>
                <w:sz w:val="24"/>
                <w:szCs w:val="24"/>
              </w:rPr>
            </w:r>
          </w:p>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p>
        </w:tc>
        <w:tc>
          <w:tcPr>
            <w:tcW w:w="2268"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19 718,2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20 044,6</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7 014,0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7 340,5</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4 064,0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4 292,8</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4 064,0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4 292,8</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980,0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982,6</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980,0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982,6</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86,9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86,9</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10503010010000110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86,9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86,9</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1 870,0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1 965,1</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250,0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307,9</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1 620,0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1 657,2</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1 280,0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1 289,7</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340,0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367,5</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ОКАЗАНИЯ ПЛАТНЫХ УСЛУГ И КОМПЕНСАЦИИ ЗАТРАТ ГОСУДАРСТВА</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13,1</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компенсации затрат государства</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11302000000000130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13,1</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доходы от компенсации затрат бюджетов сельских поселений</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11302995100000130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13,1</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12 704,2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12 704,1</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12 594,5</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12 594,5</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612,4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612,4</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454,4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454,4</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поддержку мер по обеспечению сбалансированности бюджетов</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20215002100000150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158,0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158,0</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11 836,2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11 836,2</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11 836,2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11 836,2</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109,7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109,6</w:t>
            </w:r>
            <w:r>
              <w:rPr>
                <w:rFonts w:ascii="FreeSerif" w:hAnsi="FreeSerif" w:cs="FreeSerif"/>
                <w:sz w:val="24"/>
                <w:szCs w:val="24"/>
              </w:rPr>
            </w:r>
          </w:p>
        </w:tc>
      </w:tr>
      <w:tr>
        <w:tblPrEx/>
        <w:trPr>
          <w:trHeight w:val="300"/>
        </w:trPr>
        <w:tc>
          <w:tcPr>
            <w:tcW w:w="4960"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 в бюджеты сельских поселений</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20705030100000150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109,7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109,6</w:t>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bookmarkStart w:id="0" w:name="_GoBack"/>
      <w:r>
        <w:rPr>
          <w:rFonts w:ascii="FreeSerif" w:hAnsi="FreeSerif" w:eastAsia="FreeSerif" w:cs="FreeSerif"/>
          <w:sz w:val="28"/>
          <w:szCs w:val="28"/>
        </w:rPr>
      </w:r>
      <w:bookmarkEnd w:id="0"/>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sectPr>
      <w:headerReference w:type="default" r:id="rId8"/>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2</w:t>
    </w:r>
    <w:r>
      <w:rPr>
        <w:rStyle w:val="677"/>
        <w:sz w:val="28"/>
        <w:szCs w:val="28"/>
      </w:rPr>
      <w:fldChar w:fldCharType="end"/>
    </w:r>
    <w:r>
      <w:rPr>
        <w:rStyle w:val="677"/>
        <w:sz w:val="28"/>
        <w:szCs w:val="28"/>
      </w:rPr>
    </w:r>
  </w:p>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EEF75-4EB2-4263-9C40-ADD9C3F9A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11</cp:revision>
  <dcterms:created xsi:type="dcterms:W3CDTF">2022-03-03T08:45:00Z</dcterms:created>
  <dcterms:modified xsi:type="dcterms:W3CDTF">2025-06-30T10:54:40Z</dcterms:modified>
</cp:coreProperties>
</file>