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>местителю</w:t>
      </w:r>
      <w:r>
        <w:rPr>
          <w:sz w:val="28"/>
        </w:rPr>
        <w:t xml:space="preserve"> главы</w:t>
      </w:r>
      <w:r>
        <w:rPr>
          <w:sz w:val="28"/>
        </w:rPr>
        <w:t xml:space="preserve"> </w:t>
      </w:r>
    </w:p>
    <w:p w14:paraId="09000000">
      <w:pPr>
        <w:widowControl w:val="1"/>
        <w:ind w:left="5529" w:right="94"/>
        <w:jc w:val="both"/>
        <w:rPr>
          <w:sz w:val="28"/>
        </w:rPr>
      </w:pPr>
      <w:r>
        <w:rPr>
          <w:sz w:val="28"/>
        </w:rPr>
        <w:t xml:space="preserve">Ленинградского муниципального округа </w:t>
      </w:r>
    </w:p>
    <w:p w14:paraId="0A000000">
      <w:pPr>
        <w:widowControl w:val="1"/>
        <w:ind w:left="5529" w:right="94"/>
        <w:jc w:val="right"/>
        <w:rPr>
          <w:sz w:val="28"/>
        </w:rPr>
      </w:pPr>
    </w:p>
    <w:p w14:paraId="0B000000">
      <w:pPr>
        <w:widowControl w:val="1"/>
        <w:ind w:left="5529" w:right="94"/>
        <w:rPr>
          <w:sz w:val="28"/>
        </w:rPr>
      </w:pPr>
      <w:r>
        <w:rPr>
          <w:sz w:val="28"/>
        </w:rPr>
        <w:t>Мишнякову В.И.</w:t>
      </w:r>
    </w:p>
    <w:p w14:paraId="0C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D000000">
      <w:pPr>
        <w:widowControl w:val="1"/>
        <w:ind w:right="94"/>
        <w:rPr>
          <w:sz w:val="28"/>
        </w:rPr>
      </w:pPr>
      <w:r>
        <w:rPr>
          <w:sz w:val="28"/>
        </w:rPr>
        <w:t xml:space="preserve"> </w:t>
      </w:r>
    </w:p>
    <w:p w14:paraId="0E000000">
      <w:pPr>
        <w:widowControl w:val="1"/>
        <w:ind w:right="94"/>
        <w:jc w:val="center"/>
        <w:rPr>
          <w:b w:val="1"/>
          <w:sz w:val="28"/>
        </w:rPr>
      </w:pPr>
      <w:r>
        <w:rPr>
          <w:b w:val="1"/>
          <w:sz w:val="28"/>
        </w:rPr>
        <w:t>Заключение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№ 11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от 26 июня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</w:t>
      </w:r>
      <w:r>
        <w:rPr>
          <w:b w:val="1"/>
          <w:sz w:val="28"/>
        </w:rPr>
        <w:t>.</w:t>
      </w:r>
    </w:p>
    <w:p w14:paraId="0F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об оценке регулирующего воздействия </w:t>
      </w:r>
      <w:r>
        <w:rPr>
          <w:sz w:val="28"/>
        </w:rPr>
        <w:t xml:space="preserve">проекта </w:t>
      </w:r>
      <w:r>
        <w:rPr>
          <w:sz w:val="28"/>
        </w:rPr>
        <w:t>постановления администрации муниципального образования Ленинградский муниципальный округ</w:t>
      </w:r>
    </w:p>
    <w:p w14:paraId="10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Краснодарского края </w:t>
      </w:r>
      <w:r>
        <w:rPr>
          <w:sz w:val="28"/>
        </w:rPr>
        <w:t>«</w:t>
      </w:r>
      <w:r>
        <w:rPr>
          <w:sz w:val="28"/>
        </w:rPr>
        <w:t>О</w:t>
      </w:r>
      <w:r>
        <w:rPr>
          <w:sz w:val="28"/>
        </w:rPr>
        <w:t xml:space="preserve">б утверждении Порядка предоставления субсидий </w:t>
      </w:r>
      <w:r>
        <w:rPr>
          <w:color w:val="000000"/>
          <w:sz w:val="28"/>
        </w:rPr>
        <w:t xml:space="preserve">крестьянским (фермерским) хозяйствам и индивидуальным предпринимателям, осуществляющим деятельность в области сельскохозяйственного производства, гражданам, ведущим личные подсобные хозяйства, а также гражданам, ведущим личные подсобные хозяйства и применяющим специальный налоговый режим «Налог на профессиональный доход»  на территории муниципального образования Ленинградский муниципальный округ </w:t>
      </w:r>
      <w:r>
        <w:rPr>
          <w:color w:val="000000"/>
          <w:sz w:val="28"/>
        </w:rPr>
        <w:t>Краснодарского края</w:t>
      </w:r>
      <w:r>
        <w:rPr>
          <w:sz w:val="28"/>
        </w:rPr>
        <w:t>»</w:t>
      </w:r>
      <w:r>
        <w:rPr>
          <w:sz w:val="28"/>
        </w:rPr>
        <w:t xml:space="preserve"> </w:t>
      </w:r>
    </w:p>
    <w:p w14:paraId="11000000">
      <w:pPr>
        <w:widowControl w:val="1"/>
        <w:ind/>
        <w:jc w:val="center"/>
        <w:rPr>
          <w:b w:val="1"/>
          <w:sz w:val="28"/>
        </w:rPr>
      </w:pPr>
    </w:p>
    <w:p w14:paraId="12000000">
      <w:pPr>
        <w:widowControl w:val="1"/>
        <w:ind/>
        <w:jc w:val="both"/>
        <w:outlineLvl w:val="0"/>
        <w:rPr>
          <w:sz w:val="28"/>
        </w:rPr>
      </w:pPr>
      <w:r>
        <w:rPr>
          <w:sz w:val="28"/>
        </w:rPr>
        <w:tab/>
      </w:r>
      <w:r>
        <w:rPr>
          <w:sz w:val="28"/>
        </w:rPr>
        <w:t>Отдел экономики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, </w:t>
      </w:r>
      <w:r>
        <w:rPr>
          <w:sz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>(далее – Уполномоченный орган), рассмотрел поступивший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bookmarkStart w:id="1" w:name="_GoBack"/>
      <w:bookmarkEnd w:id="1"/>
      <w:r>
        <w:rPr>
          <w:sz w:val="28"/>
        </w:rPr>
        <w:t>4 июня 202</w:t>
      </w:r>
      <w:r>
        <w:rPr>
          <w:sz w:val="28"/>
        </w:rPr>
        <w:t>6</w:t>
      </w:r>
      <w:r>
        <w:rPr>
          <w:sz w:val="28"/>
        </w:rPr>
        <w:t xml:space="preserve"> г. </w:t>
      </w:r>
      <w:r>
        <w:rPr>
          <w:sz w:val="28"/>
        </w:rPr>
        <w:t xml:space="preserve">проект </w:t>
      </w:r>
      <w:r>
        <w:rPr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sz w:val="28"/>
        </w:rPr>
        <w:t xml:space="preserve">Краснодарского края </w:t>
      </w:r>
      <w:r>
        <w:rPr>
          <w:sz w:val="28"/>
        </w:rPr>
        <w:t>«</w:t>
      </w:r>
      <w:r>
        <w:rPr>
          <w:sz w:val="28"/>
        </w:rPr>
        <w:t>О</w:t>
      </w:r>
      <w:r>
        <w:rPr>
          <w:sz w:val="28"/>
        </w:rPr>
        <w:t xml:space="preserve">б утверждении Порядка предоставления субсидий </w:t>
      </w:r>
      <w:r>
        <w:rPr>
          <w:color w:val="000000"/>
          <w:sz w:val="28"/>
        </w:rPr>
        <w:t>крестьянским (фермер</w:t>
      </w:r>
      <w:r>
        <w:rPr>
          <w:color w:val="000000"/>
          <w:sz w:val="28"/>
        </w:rPr>
        <w:t>ским) хозяйствам и индивидуальным предпринимателям, осуществляющим деятельность в области сельскохозяйственного производства, гражданам, ведущим личные подсобные хозяйства, а также гражданам, ведущим личные подсобные хозяйства и применяющим специальный налоговый режим «Налог на профессиональный доход»  на территории муниципального образования Ленинградский муниципальный округ Краснодарского края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 xml:space="preserve">(далее – </w:t>
      </w:r>
      <w:r>
        <w:rPr>
          <w:sz w:val="28"/>
        </w:rPr>
        <w:t>П</w:t>
      </w:r>
      <w:r>
        <w:rPr>
          <w:sz w:val="28"/>
        </w:rPr>
        <w:t>роект</w:t>
      </w:r>
      <w:r>
        <w:rPr>
          <w:sz w:val="28"/>
        </w:rPr>
        <w:t>)</w:t>
      </w:r>
      <w:r>
        <w:rPr>
          <w:sz w:val="28"/>
        </w:rPr>
        <w:t xml:space="preserve">, направленный </w:t>
      </w:r>
      <w:r>
        <w:rPr>
          <w:rFonts w:ascii="Times New Roman" w:hAnsi="Times New Roman"/>
          <w:sz w:val="28"/>
        </w:rPr>
        <w:t xml:space="preserve">управлением сельского хозяйства  администрации Ленинградского муниципального округа </w:t>
      </w:r>
      <w:r>
        <w:rPr>
          <w:sz w:val="28"/>
        </w:rPr>
        <w:t xml:space="preserve">(далее - </w:t>
      </w:r>
      <w:r>
        <w:rPr>
          <w:sz w:val="28"/>
        </w:rPr>
        <w:t>Разработчик)</w:t>
      </w:r>
      <w:r>
        <w:rPr>
          <w:sz w:val="28"/>
        </w:rPr>
        <w:t xml:space="preserve"> </w:t>
      </w:r>
      <w:r>
        <w:rPr>
          <w:sz w:val="28"/>
        </w:rPr>
        <w:t>для подготовки настоящего Заключения</w:t>
      </w:r>
      <w:r>
        <w:rPr>
          <w:sz w:val="28"/>
        </w:rPr>
        <w:t>,</w:t>
      </w:r>
      <w:r>
        <w:rPr>
          <w:sz w:val="28"/>
        </w:rPr>
        <w:t xml:space="preserve"> и сообщает следующее</w:t>
      </w:r>
      <w:r>
        <w:rPr>
          <w:sz w:val="28"/>
        </w:rPr>
        <w:t>.</w:t>
      </w:r>
    </w:p>
    <w:p w14:paraId="13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Порядком </w:t>
      </w:r>
      <w:r>
        <w:rPr>
          <w:sz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>
        <w:rPr>
          <w:sz w:val="28"/>
        </w:rPr>
        <w:t>(далее - Порядок) проект подлежит проведению оценки регулирующего воздействия.</w:t>
      </w:r>
    </w:p>
    <w:p w14:paraId="14000000">
      <w:pPr>
        <w:widowControl w:val="1"/>
        <w:ind w:firstLine="540"/>
        <w:jc w:val="both"/>
        <w:outlineLvl w:val="0"/>
        <w:rPr>
          <w:sz w:val="28"/>
        </w:rPr>
      </w:pPr>
      <w:r>
        <w:rPr>
          <w:sz w:val="28"/>
        </w:rPr>
        <w:t xml:space="preserve">Степень регулирующего воздействия -  </w:t>
      </w:r>
      <w:r>
        <w:rPr>
          <w:sz w:val="28"/>
        </w:rPr>
        <w:t>высокая</w:t>
      </w:r>
      <w:r>
        <w:rPr>
          <w:sz w:val="28"/>
        </w:rPr>
        <w:t xml:space="preserve">.   </w:t>
      </w:r>
    </w:p>
    <w:p w14:paraId="15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муниципального правового акта содержит положения, устанавливающие новые обязанности для субъектов предпринимательской и иной экономической деятельности.</w:t>
      </w:r>
    </w:p>
    <w:p w14:paraId="16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По результатам рассмотрения установлено, что при подготовке </w:t>
      </w:r>
      <w:r>
        <w:rPr>
          <w:sz w:val="28"/>
        </w:rPr>
        <w:t>П</w:t>
      </w:r>
      <w:r>
        <w:rPr>
          <w:sz w:val="28"/>
        </w:rPr>
        <w:t>роекта требования Порядка Разработчиком соблюдены.</w:t>
      </w:r>
    </w:p>
    <w:p w14:paraId="17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Проект направлен Разработчиком для проведения оценки регулирующего возд</w:t>
      </w:r>
      <w:r>
        <w:rPr>
          <w:sz w:val="28"/>
        </w:rPr>
        <w:t>ействия впервые.</w:t>
      </w:r>
    </w:p>
    <w:p w14:paraId="18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Проведен анализ результатов исследований, проводимых регулирующим </w:t>
      </w:r>
      <w:r>
        <w:rPr>
          <w:sz w:val="28"/>
        </w:rPr>
        <w:t>органом</w:t>
      </w:r>
      <w:r>
        <w:rPr>
          <w:sz w:val="28"/>
        </w:rPr>
        <w:t xml:space="preserve"> </w:t>
      </w:r>
      <w:r>
        <w:rPr>
          <w:sz w:val="28"/>
        </w:rPr>
        <w:t xml:space="preserve">с учетом установления полноты рассмотрения </w:t>
      </w:r>
      <w:r>
        <w:rPr>
          <w:sz w:val="28"/>
        </w:rPr>
        <w:t xml:space="preserve">регулирующим органом </w:t>
      </w:r>
      <w:r>
        <w:rPr>
          <w:sz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</w:t>
      </w:r>
      <w:r>
        <w:rPr>
          <w:rFonts w:ascii="Times New Roman" w:hAnsi="Times New Roman"/>
          <w:sz w:val="28"/>
        </w:rPr>
        <w:t xml:space="preserve">правовым </w:t>
      </w:r>
      <w:r>
        <w:rPr>
          <w:rFonts w:ascii="Times New Roman" w:hAnsi="Times New Roman"/>
          <w:sz w:val="28"/>
        </w:rPr>
        <w:t xml:space="preserve">регулированием рассматриваемой сферы общественных отношений. </w:t>
      </w:r>
    </w:p>
    <w:p w14:paraId="19000000">
      <w:pPr>
        <w:widowControl w:val="1"/>
        <w:ind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азработчиком предложен один вариант правового регулирования - </w:t>
      </w:r>
      <w:r>
        <w:rPr>
          <w:rFonts w:ascii="Times New Roman" w:hAnsi="Times New Roman"/>
          <w:sz w:val="28"/>
        </w:rPr>
        <w:t xml:space="preserve">принятие </w:t>
      </w:r>
      <w:r>
        <w:rPr>
          <w:rFonts w:ascii="Times New Roman" w:hAnsi="Times New Roman"/>
          <w:sz w:val="28"/>
        </w:rPr>
        <w:t xml:space="preserve">постановления администрации муниципального образования Ленинградский муниципальный округ </w:t>
      </w:r>
      <w:r>
        <w:rPr>
          <w:rFonts w:ascii="Times New Roman" w:hAnsi="Times New Roman"/>
          <w:sz w:val="28"/>
        </w:rPr>
        <w:t xml:space="preserve">Краснодарского края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Порядка предоставления субсидий </w:t>
      </w:r>
      <w:r>
        <w:rPr>
          <w:rFonts w:ascii="Times New Roman" w:hAnsi="Times New Roman"/>
          <w:color w:val="000000"/>
          <w:sz w:val="28"/>
        </w:rPr>
        <w:t>крестьянским (фермерским) хозяйствам и индивидуальным предпринимателям, осуществляющим деятельность в области сельскохозяйственного производства, гражданам, ведущим личные подсобные хозяйства, а также гражданам, ведущим личные подсобные хозяйства и применяющим специальный налоговый режим «Налог на профессиональный доход» 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».</w:t>
      </w:r>
    </w:p>
    <w:p w14:paraId="1A000000">
      <w:pPr>
        <w:widowControl w:val="1"/>
        <w:ind/>
        <w:jc w:val="both"/>
        <w:outlineLvl w:val="0"/>
        <w:rPr>
          <w:sz w:val="28"/>
        </w:rPr>
      </w:pPr>
      <w:r>
        <w:rPr>
          <w:rFonts w:ascii="Times New Roman" w:hAnsi="Times New Roman"/>
          <w:sz w:val="28"/>
        </w:rPr>
        <w:t xml:space="preserve">       В качестве альтернативы рассм</w:t>
      </w:r>
      <w:r>
        <w:rPr>
          <w:rFonts w:ascii="Times New Roman" w:hAnsi="Times New Roman"/>
          <w:sz w:val="28"/>
        </w:rPr>
        <w:t xml:space="preserve">отрен вариант непринятия муниципального </w:t>
      </w:r>
      <w:r>
        <w:rPr>
          <w:rFonts w:ascii="Times New Roman" w:hAnsi="Times New Roman"/>
          <w:sz w:val="28"/>
        </w:rPr>
        <w:t xml:space="preserve">правового акта. </w:t>
      </w:r>
    </w:p>
    <w:p w14:paraId="1B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Проведено сравнение указанных вариантов правового регулирования. </w:t>
      </w:r>
      <w:r>
        <w:rPr>
          <w:rFonts w:ascii="Times New Roman" w:hAnsi="Times New Roman"/>
          <w:sz w:val="28"/>
        </w:rPr>
        <w:t xml:space="preserve">Выбор варианта правового регулирования сделан исходя из оценки </w:t>
      </w:r>
      <w:r>
        <w:rPr>
          <w:rFonts w:ascii="Times New Roman" w:hAnsi="Times New Roman"/>
          <w:sz w:val="28"/>
        </w:rPr>
        <w:t>возможности достижения заявленн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цел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регулирования</w:t>
      </w:r>
      <w:r>
        <w:rPr>
          <w:rFonts w:ascii="Times New Roman" w:hAnsi="Times New Roman"/>
          <w:sz w:val="28"/>
        </w:rPr>
        <w:t xml:space="preserve"> и оценки рисков </w:t>
      </w:r>
      <w:r>
        <w:rPr>
          <w:rFonts w:ascii="Times New Roman" w:hAnsi="Times New Roman"/>
          <w:sz w:val="28"/>
        </w:rPr>
        <w:t>наступления неблагоприятных последствий</w:t>
      </w:r>
      <w:r>
        <w:rPr>
          <w:rFonts w:ascii="Times New Roman" w:hAnsi="Times New Roman"/>
          <w:sz w:val="28"/>
        </w:rPr>
        <w:t xml:space="preserve">. </w:t>
      </w:r>
    </w:p>
    <w:p w14:paraId="1C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 xml:space="preserve">Проведена оценка эффективности </w:t>
      </w:r>
      <w:r>
        <w:rPr>
          <w:sz w:val="28"/>
        </w:rPr>
        <w:t xml:space="preserve">предлагаемого варианта правового регулирования, </w:t>
      </w:r>
      <w:r>
        <w:rPr>
          <w:sz w:val="28"/>
        </w:rPr>
        <w:t>основанн</w:t>
      </w:r>
      <w:r>
        <w:rPr>
          <w:sz w:val="28"/>
        </w:rPr>
        <w:t>ого</w:t>
      </w:r>
      <w:r>
        <w:rPr>
          <w:sz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14:paraId="1D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роблема</w:t>
      </w:r>
      <w:r>
        <w:rPr>
          <w:rFonts w:ascii="Times New Roman" w:hAnsi="Times New Roman"/>
          <w:sz w:val="28"/>
        </w:rPr>
        <w:t xml:space="preserve">, на решение которой направлено правовое регулирование, </w:t>
      </w:r>
      <w:r>
        <w:rPr>
          <w:rFonts w:ascii="Times New Roman" w:hAnsi="Times New Roman"/>
          <w:sz w:val="28"/>
        </w:rPr>
        <w:t>сформирована точно</w:t>
      </w:r>
      <w:r>
        <w:rPr>
          <w:rFonts w:ascii="Times New Roman" w:hAnsi="Times New Roman"/>
          <w:sz w:val="28"/>
        </w:rPr>
        <w:t>;</w:t>
      </w:r>
    </w:p>
    <w:p w14:paraId="1E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</w:t>
      </w:r>
      <w:r>
        <w:rPr>
          <w:sz w:val="28"/>
        </w:rPr>
        <w:t xml:space="preserve">определены потенциальные адресаты предлагаемого правового </w:t>
      </w:r>
      <w:r>
        <w:rPr>
          <w:sz w:val="28"/>
        </w:rPr>
        <w:t>регулиро</w:t>
      </w:r>
      <w:r>
        <w:rPr>
          <w:sz w:val="28"/>
        </w:rPr>
        <w:t>вания</w:t>
      </w:r>
      <w:r>
        <w:rPr>
          <w:sz w:val="28"/>
        </w:rPr>
        <w:t>;</w:t>
      </w:r>
    </w:p>
    <w:p w14:paraId="1F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sz w:val="28"/>
        </w:rPr>
        <w:t>- к</w:t>
      </w:r>
      <w:r>
        <w:rPr>
          <w:sz w:val="28"/>
        </w:rPr>
        <w:t xml:space="preserve">оличественная </w:t>
      </w:r>
      <w:r>
        <w:rPr>
          <w:sz w:val="28"/>
        </w:rPr>
        <w:t>оценка участников не ограничена;,</w:t>
      </w:r>
    </w:p>
    <w:p w14:paraId="20000000">
      <w:pPr>
        <w:widowControl w:val="1"/>
        <w:tabs>
          <w:tab w:leader="none" w:pos="993" w:val="left"/>
        </w:tabs>
        <w:ind w:firstLine="567"/>
        <w:jc w:val="both"/>
        <w:rPr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предлагаемого </w:t>
      </w:r>
      <w:r>
        <w:rPr>
          <w:rFonts w:ascii="Times New Roman" w:hAnsi="Times New Roman"/>
          <w:sz w:val="28"/>
        </w:rPr>
        <w:t>проектом правового регулирования определена объективно</w:t>
      </w:r>
      <w:r>
        <w:rPr>
          <w:rFonts w:ascii="Times New Roman" w:hAnsi="Times New Roman"/>
          <w:sz w:val="28"/>
        </w:rPr>
        <w:t>;</w:t>
      </w:r>
    </w:p>
    <w:p w14:paraId="21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срок достижения заявленных целей: с даты вступления в силу постановления</w:t>
      </w:r>
      <w:r>
        <w:rPr>
          <w:rFonts w:ascii="Times New Roman" w:hAnsi="Times New Roman"/>
          <w:sz w:val="28"/>
        </w:rPr>
        <w:t>, в связи с чем отсутствует необходимость в последующем мониторинге достижения целей</w:t>
      </w:r>
      <w:r>
        <w:rPr>
          <w:rFonts w:ascii="Times New Roman" w:hAnsi="Times New Roman"/>
          <w:sz w:val="28"/>
        </w:rPr>
        <w:t>;</w:t>
      </w:r>
    </w:p>
    <w:p w14:paraId="22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дополнительны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расход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местного бюджета (бюджета </w:t>
      </w:r>
      <w:r>
        <w:rPr>
          <w:rFonts w:ascii="Times New Roman" w:hAnsi="Times New Roman"/>
          <w:sz w:val="28"/>
        </w:rPr>
        <w:t xml:space="preserve">Ленинградского </w:t>
      </w:r>
      <w:r>
        <w:rPr>
          <w:rFonts w:ascii="Times New Roman" w:hAnsi="Times New Roman"/>
          <w:sz w:val="28"/>
        </w:rPr>
        <w:t>муниципального о</w:t>
      </w:r>
      <w:r>
        <w:rPr>
          <w:rFonts w:ascii="Times New Roman" w:hAnsi="Times New Roman"/>
          <w:sz w:val="28"/>
        </w:rPr>
        <w:t>круга</w:t>
      </w:r>
      <w:r>
        <w:rPr>
          <w:rFonts w:ascii="Times New Roman" w:hAnsi="Times New Roman"/>
          <w:sz w:val="28"/>
        </w:rPr>
        <w:t>), связанны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с введением предлагаемого правового регулирования</w:t>
      </w:r>
      <w:r>
        <w:rPr>
          <w:rFonts w:ascii="Times New Roman" w:hAnsi="Times New Roman"/>
          <w:sz w:val="28"/>
        </w:rPr>
        <w:t xml:space="preserve"> не предполагаются;</w:t>
      </w:r>
    </w:p>
    <w:p w14:paraId="23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риски введения предлагаемого правового регулирования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отсутствуют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установлено следующее:</w:t>
      </w:r>
    </w:p>
    <w:p w14:paraId="25000000">
      <w:pPr>
        <w:widowControl w:val="1"/>
        <w:tabs>
          <w:tab w:leader="none" w:pos="993" w:val="left"/>
        </w:tabs>
        <w:ind w:firstLine="567"/>
        <w:jc w:val="both"/>
        <w:rPr>
          <w:color w:val="000000"/>
          <w:sz w:val="28"/>
        </w:rPr>
      </w:pPr>
      <w:r>
        <w:rPr>
          <w:sz w:val="28"/>
        </w:rPr>
        <w:t>1</w:t>
      </w:r>
      <w:r>
        <w:rPr>
          <w:color w:themeColor="text1" w:val="000000"/>
          <w:sz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>
        <w:rPr>
          <w:color w:themeColor="text1" w:val="000000"/>
          <w:sz w:val="28"/>
        </w:rPr>
        <w:t>:</w:t>
      </w:r>
    </w:p>
    <w:p w14:paraId="26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граждане, зарегистрированные на территории Краснодарского края и ведущие личные подсобные хозяйства на земельном участке, находящемся на территории муниципального образования Ленинградский м</w:t>
      </w:r>
      <w:r>
        <w:rPr>
          <w:rFonts w:ascii="Times New Roman" w:hAnsi="Times New Roman"/>
          <w:sz w:val="28"/>
        </w:rPr>
        <w:t xml:space="preserve">униципальный округ Краснодарского края, </w:t>
      </w:r>
      <w:r>
        <w:rPr>
          <w:rFonts w:ascii="Times New Roman" w:hAnsi="Times New Roman"/>
          <w:color w:val="000000"/>
          <w:sz w:val="28"/>
        </w:rPr>
        <w:t>в соответствии с Федеральным законом от 7 июля 2003 г. № 112-ФЗ «О личном подсобном хозяйстве»;</w:t>
      </w:r>
    </w:p>
    <w:p w14:paraId="27000000">
      <w:pPr>
        <w:pStyle w:val="Style_5"/>
        <w:widowControl w:val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 граждане, зарегистрированные на территории Краснодарского края и ведущие личные подсобные хозяйства на земельном участке, находящемся на территории муниципального образования Ленинградский муниципальный округ Краснодарского края, в соответствии с действующим законодательством   перешедшие на специальный налоговый режим «Налог на профессиональный доход» в соответствии с Федеральным законом  от 27 ноября 2018 г. № 422-ФЗ «О проведении эксперимента по установлению специального налогового режима «Налог на профессиональный доход»;</w:t>
      </w:r>
    </w:p>
    <w:p w14:paraId="28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крестьянские (фермерские) хозяйства (созданные в соответствии с Федеральным законом от 11 июня 2003 г. № 74-ФЗ «О крестьянском (фермерском) хозяйстве», зарегистрированные на территории Краснодарского края и осуществляющие производственную деятельность в области производства сельскохозяйственной продукции на территории муниципального образования 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  <w:r>
        <w:rPr>
          <w:rFonts w:ascii="Times New Roman" w:hAnsi="Times New Roman"/>
          <w:color w:val="000000"/>
          <w:sz w:val="28"/>
        </w:rPr>
        <w:t>;</w:t>
      </w:r>
    </w:p>
    <w:p w14:paraId="29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индивидуальные предприниматели, зарегистрированные на территории Краснодарского края и осуществляющие производственную деятельность на территории муниципального образования 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  <w:r>
        <w:rPr>
          <w:rFonts w:ascii="Times New Roman" w:hAnsi="Times New Roman"/>
          <w:color w:val="000000"/>
          <w:sz w:val="28"/>
        </w:rPr>
        <w:t>, являющиеся сельскохозяйственными товаропроизводителями, отвечающие требованиям Федерального закона от 29 декабря    2006 г. № 264-ФЗ «О развитии сельского хозяйства»;</w:t>
      </w:r>
    </w:p>
    <w:p w14:paraId="2A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 индивидуальные предприниматели, зарегистрированные на территории Краснодарского края и осуществляющие свою деятельность на территории муниципального образования Ленинградский муниципальный округ Краснодарского края менее одного года и имеющие соответствующий вид деятельности в соответствии с Общероссийским классификатором по видам экономической деятельности (ОКВЭД2) ОК 029-2014 (КДЕС Ред.2) - Раздел А «Сельское, лесное хозяйство, охота, рыболовство и рыбоводство».</w:t>
      </w:r>
    </w:p>
    <w:p w14:paraId="2B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Их количество неограниченно.</w:t>
      </w:r>
    </w:p>
    <w:p w14:paraId="2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 Проблема, на решение которой направлено правовое регулирование, заключается в</w:t>
      </w:r>
      <w:r>
        <w:rPr>
          <w:sz w:val="28"/>
        </w:rPr>
        <w:t xml:space="preserve"> следующем</w:t>
      </w:r>
      <w:r>
        <w:rPr>
          <w:sz w:val="28"/>
        </w:rPr>
        <w:t>:</w:t>
      </w:r>
    </w:p>
    <w:p w14:paraId="2D000000">
      <w:pPr>
        <w:widowControl w:val="0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невозможность оказания государственной поддержки в виде предоставления субсидии на поддержку сельскохозяйственного производства, в связи с изменениями расчётных размеров ставок субсидий и периодов возмещения понесенных затрат при предоставлении субсидий для </w:t>
      </w:r>
      <w:r>
        <w:rPr>
          <w:rFonts w:ascii="Times New Roman" w:hAnsi="Times New Roman"/>
          <w:color w:val="000000"/>
          <w:sz w:val="28"/>
        </w:rPr>
        <w:t xml:space="preserve">крестьянских (фермерских) хозяйств и индивидуальных предпринимателей, осуществляющих деятельность в области сельскохозяйственного производства, граждан, ведущих личные подсобные хозяйства, а также граждан, ведущих личные подсобные хозяйства и применяющих специальный налоговый режим «Налог на профессиональный доход». </w:t>
      </w:r>
    </w:p>
    <w:p w14:paraId="2E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14:paraId="2F000000">
      <w:pPr>
        <w:widowControl w:val="1"/>
        <w:ind w:firstLine="709"/>
        <w:jc w:val="both"/>
      </w:pPr>
      <w:r>
        <w:rPr>
          <w:sz w:val="28"/>
        </w:rPr>
        <w:t>3</w:t>
      </w:r>
      <w:r>
        <w:rPr>
          <w:sz w:val="28"/>
        </w:rPr>
        <w:t xml:space="preserve">. </w:t>
      </w:r>
      <w:r>
        <w:rPr>
          <w:sz w:val="28"/>
        </w:rPr>
        <w:t xml:space="preserve">Цель предлагаемого правового регулирования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пред</w:t>
      </w:r>
      <w:r>
        <w:rPr>
          <w:rFonts w:ascii="Times New Roman" w:hAnsi="Times New Roman"/>
          <w:sz w:val="28"/>
        </w:rPr>
        <w:t xml:space="preserve">оставление субсидий </w:t>
      </w:r>
      <w:r>
        <w:rPr>
          <w:rFonts w:ascii="Times New Roman" w:hAnsi="Times New Roman"/>
          <w:color w:val="000000"/>
          <w:sz w:val="28"/>
        </w:rPr>
        <w:t>крестьянским (фермерским) хозяйствам и индивидуальным предпринимателям, осуществляющим деятельность в области сельскохозяйственного производства, гражданам, ведущим личные подсобные хозяйства, а также гражданам, ведущим личные подсобные хозяйства и применяющим специальный налоговый режим «Налог на профессиональный доход» на территории муниципального образования Ленинградский муниципальный округ Краснодарского края.</w:t>
      </w:r>
    </w:p>
    <w:p w14:paraId="30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Цели предоставления субсидии:</w:t>
      </w:r>
    </w:p>
    <w:p w14:paraId="31000000">
      <w:pPr>
        <w:pStyle w:val="Style_5"/>
        <w:widowControl w:val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сфере финансовой государственной поддержки крестьянских (фермерских) хозяйств и индивидуальных предпринимателей, ведущих деятельность в области сельскохозяйственного производства, субсидии предоставляются в целях возмещения части затрат на:</w:t>
      </w:r>
    </w:p>
    <w:p w14:paraId="32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производство реализуемой продукции животноводства;</w:t>
      </w:r>
    </w:p>
    <w:p w14:paraId="33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14:paraId="34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 теплиц для выращивания овощей и (или) ягод в защищенном грунте;</w:t>
      </w:r>
    </w:p>
    <w:p w14:paraId="35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оплату услуг по искусственному осеменению сельскохозяйственных животных (крупного рогатого скота, овец и коз);</w:t>
      </w:r>
    </w:p>
    <w:p w14:paraId="36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систем капельного орошения для ведения овощеводства;</w:t>
      </w:r>
    </w:p>
    <w:p w14:paraId="37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молодняка кроликов, гусей, индеек;</w:t>
      </w:r>
    </w:p>
    <w:p w14:paraId="38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технологического оборудования для животноводства, птицеводства, а также переработки животноводческой продукции;</w:t>
      </w:r>
    </w:p>
    <w:p w14:paraId="39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наращиванию поголовья коров (предоставляется в случае покупки коров, а также наращивания поголовья коров в году, предшествующем текущему финансовому году).</w:t>
      </w:r>
    </w:p>
    <w:p w14:paraId="3A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сфере финансовой государственной поддержки развития личных подсобных хозяйств в области сельскохозяйственного производства субсидии предоставляются на возмещение части затрат граждан, ведущих личные подсобные хозяйства, на:</w:t>
      </w:r>
    </w:p>
    <w:p w14:paraId="3B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14:paraId="3C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искусственное осеменение сельскохозяйственных животных (крупного рогатого скота, овец и коз);</w:t>
      </w:r>
    </w:p>
    <w:p w14:paraId="3D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производство реализуемой ими продукции животноводства;</w:t>
      </w:r>
    </w:p>
    <w:p w14:paraId="3E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 теплиц для выращивания овощей и (или) ягод в защищенном грунте;</w:t>
      </w:r>
    </w:p>
    <w:p w14:paraId="3F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молодняка кроликов, гусей, индеек.</w:t>
      </w:r>
    </w:p>
    <w:p w14:paraId="40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сфере финансовой государственной поддержки граждан, ведущих личные подсобные хозяйства и применяющих специальный налоговый режим «Налог на профессиональный доход», субсидии предоставляются по направлению государственной поддержки «Мой огород – мой бизнес» в целях возмещения части затрат на:</w:t>
      </w:r>
    </w:p>
    <w:p w14:paraId="41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воспроизводства;</w:t>
      </w:r>
    </w:p>
    <w:p w14:paraId="42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производство реализуемой продукции животноводства;</w:t>
      </w:r>
    </w:p>
    <w:p w14:paraId="43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оплату услуг по искусственному осеменению сельскохозяйственных животных (крупного рогатого скота, овец и коз);</w:t>
      </w:r>
    </w:p>
    <w:p w14:paraId="44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молодняка кроликов, нутрий, гусей, индеек, уток, кур-несушек, перепелов, а также пчелопакетов;</w:t>
      </w:r>
    </w:p>
    <w:p w14:paraId="45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строительство теплиц для выращивания овощей и (или) ягод в защищенном грунте;</w:t>
      </w:r>
    </w:p>
    <w:p w14:paraId="46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технологического оборудования для животноводства, птицеводства, а также переработки животноводческой продукции;</w:t>
      </w:r>
    </w:p>
    <w:p w14:paraId="47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приобретение саженцев плодово-ягодных культур, рассады и семян овощных и цветочных культур;</w:t>
      </w:r>
    </w:p>
    <w:p w14:paraId="48000000">
      <w:pPr>
        <w:pStyle w:val="Style_5"/>
        <w:widowControl w:val="0"/>
        <w:ind w:firstLine="68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приобретение систем капельного орошения для ведения овощеводства.</w:t>
      </w:r>
    </w:p>
    <w:p w14:paraId="49000000">
      <w:pPr>
        <w:widowControl w:val="1"/>
        <w:tabs>
          <w:tab w:leader="none" w:pos="1134" w:val="left"/>
          <w:tab w:leader="none" w:pos="1276" w:val="left"/>
          <w:tab w:leader="none" w:pos="1418" w:val="left"/>
          <w:tab w:leader="none" w:pos="1560" w:val="left"/>
        </w:tabs>
        <w:ind/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>Цел</w:t>
      </w:r>
      <w:r>
        <w:rPr>
          <w:sz w:val="28"/>
        </w:rPr>
        <w:t>ь</w:t>
      </w:r>
      <w:r>
        <w:rPr>
          <w:sz w:val="28"/>
        </w:rPr>
        <w:t xml:space="preserve"> правового регулирования </w:t>
      </w:r>
      <w:r>
        <w:rPr>
          <w:sz w:val="28"/>
        </w:rPr>
        <w:t xml:space="preserve">соответствует </w:t>
      </w:r>
      <w:r>
        <w:rPr>
          <w:sz w:val="28"/>
        </w:rPr>
        <w:t xml:space="preserve">принципам правового регулирования, установленным </w:t>
      </w:r>
      <w:r>
        <w:rPr>
          <w:sz w:val="28"/>
        </w:rPr>
        <w:t xml:space="preserve">действующим </w:t>
      </w:r>
      <w:r>
        <w:rPr>
          <w:sz w:val="28"/>
        </w:rPr>
        <w:t xml:space="preserve">законодательством Российской </w:t>
      </w:r>
      <w:r>
        <w:rPr>
          <w:sz w:val="28"/>
        </w:rPr>
        <w:t>Федерации</w:t>
      </w:r>
      <w:r>
        <w:rPr>
          <w:sz w:val="28"/>
        </w:rPr>
        <w:t xml:space="preserve"> и </w:t>
      </w:r>
      <w:r>
        <w:rPr>
          <w:sz w:val="28"/>
        </w:rPr>
        <w:t>Краснодарского края.</w:t>
      </w:r>
    </w:p>
    <w:p w14:paraId="4A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Проект муниципального правового акта содержит положения, </w:t>
      </w:r>
      <w:r>
        <w:rPr>
          <w:rFonts w:ascii="Times New Roman" w:hAnsi="Times New Roman"/>
          <w:sz w:val="28"/>
        </w:rPr>
        <w:t>устанавливающие новые обязанности для субъектов предпринимательской и иной экономической деятельности.</w:t>
      </w:r>
    </w:p>
    <w:p w14:paraId="4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Требования, предъявляемые к заявите</w:t>
      </w:r>
      <w:r>
        <w:rPr>
          <w:sz w:val="28"/>
        </w:rPr>
        <w:t>лям, установлены в пунктах 2.</w:t>
      </w:r>
      <w:r>
        <w:rPr>
          <w:sz w:val="28"/>
        </w:rPr>
        <w:t>1</w:t>
      </w:r>
      <w:r>
        <w:rPr>
          <w:sz w:val="28"/>
        </w:rPr>
        <w:t>, 2.</w:t>
      </w:r>
      <w:r>
        <w:rPr>
          <w:sz w:val="28"/>
        </w:rPr>
        <w:t>2</w:t>
      </w:r>
      <w:r>
        <w:rPr>
          <w:sz w:val="28"/>
        </w:rPr>
        <w:t xml:space="preserve"> раздела 2 Порядка.</w:t>
      </w:r>
    </w:p>
    <w:p w14:paraId="4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Проектом обязательные требования не установлены.</w:t>
      </w:r>
    </w:p>
    <w:p w14:paraId="4D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sz w:val="28"/>
        </w:rPr>
        <w:t>Содержание или порядок реализации полномочий органов местного самоуправления</w:t>
      </w:r>
      <w:r>
        <w:rPr>
          <w:sz w:val="28"/>
        </w:rPr>
        <w:t>:</w:t>
      </w:r>
      <w:r>
        <w:rPr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предоставление </w:t>
      </w:r>
      <w:r>
        <w:rPr>
          <w:rFonts w:ascii="Times New Roman" w:hAnsi="Times New Roman"/>
          <w:b w:val="0"/>
          <w:sz w:val="28"/>
        </w:rPr>
        <w:t xml:space="preserve">субсидий крестьянским (фермерским) хозяйствам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и индивидуальным предпринимателям, осуществляющим </w:t>
      </w:r>
      <w:r>
        <w:rPr>
          <w:rFonts w:ascii="Times New Roman" w:hAnsi="Times New Roman"/>
          <w:b w:val="0"/>
          <w:sz w:val="28"/>
        </w:rPr>
        <w:t xml:space="preserve">деятельность в области сельскохозяйственного производства, </w:t>
      </w:r>
      <w:r>
        <w:rPr>
          <w:rFonts w:ascii="Times New Roman" w:hAnsi="Times New Roman"/>
          <w:b w:val="0"/>
          <w:sz w:val="28"/>
        </w:rPr>
        <w:t xml:space="preserve">гражданам, ведущим личные подсобные хозяйства, а также гражданам, </w:t>
      </w:r>
      <w:r>
        <w:rPr>
          <w:rFonts w:ascii="Times New Roman" w:hAnsi="Times New Roman"/>
          <w:b w:val="0"/>
          <w:sz w:val="28"/>
        </w:rPr>
        <w:t xml:space="preserve">ведущим личные подсобные хозяйства и применяющим специальный </w:t>
      </w:r>
      <w:r>
        <w:rPr>
          <w:rFonts w:ascii="Times New Roman" w:hAnsi="Times New Roman"/>
          <w:b w:val="0"/>
          <w:sz w:val="28"/>
        </w:rPr>
        <w:t xml:space="preserve">налоговый режим «Налог на профессиональный доход» </w:t>
      </w:r>
      <w:r>
        <w:rPr>
          <w:rFonts w:ascii="Times New Roman" w:hAnsi="Times New Roman"/>
          <w:b w:val="0"/>
          <w:sz w:val="28"/>
        </w:rPr>
        <w:t xml:space="preserve">на территории муниципального образования </w:t>
      </w:r>
      <w:r>
        <w:rPr>
          <w:rFonts w:ascii="Times New Roman" w:hAnsi="Times New Roman"/>
          <w:b w:val="0"/>
          <w:sz w:val="28"/>
        </w:rPr>
        <w:t>Ленинградский муниципальный округ Краснодарского края.</w:t>
      </w:r>
    </w:p>
    <w:p w14:paraId="4E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bookmarkStart w:id="2" w:name="Par228"/>
      <w:bookmarkEnd w:id="2"/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 xml:space="preserve">Риски </w:t>
      </w:r>
      <w:r>
        <w:rPr>
          <w:rFonts w:ascii="Times New Roman" w:hAnsi="Times New Roman"/>
          <w:sz w:val="28"/>
        </w:rPr>
        <w:t>недостижения</w:t>
      </w:r>
      <w:r>
        <w:rPr>
          <w:rFonts w:ascii="Times New Roman" w:hAnsi="Times New Roman"/>
          <w:sz w:val="28"/>
        </w:rPr>
        <w:t xml:space="preserve"> целей правового регулирования</w:t>
      </w:r>
      <w:r>
        <w:rPr>
          <w:rFonts w:ascii="Times New Roman" w:hAnsi="Times New Roman"/>
          <w:sz w:val="28"/>
        </w:rPr>
        <w:t xml:space="preserve"> отсутствуют</w:t>
      </w:r>
      <w:r>
        <w:rPr>
          <w:rFonts w:ascii="Times New Roman" w:hAnsi="Times New Roman"/>
          <w:sz w:val="28"/>
        </w:rPr>
        <w:t>.</w:t>
      </w:r>
    </w:p>
    <w:p w14:paraId="4F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>Дополнительными расходами районного бюджета (бюджета администра</w:t>
      </w:r>
      <w:r>
        <w:rPr>
          <w:rFonts w:ascii="Times New Roman" w:hAnsi="Times New Roman"/>
          <w:sz w:val="28"/>
        </w:rPr>
        <w:t xml:space="preserve">ции Ленинградского муниципального округа), связанными с введением предлагаемого правового регулирования </w:t>
      </w:r>
      <w:r>
        <w:rPr>
          <w:rFonts w:ascii="Times New Roman" w:hAnsi="Times New Roman"/>
          <w:sz w:val="28"/>
        </w:rPr>
        <w:t>не предполагаются.</w:t>
      </w:r>
    </w:p>
    <w:p w14:paraId="50000000">
      <w:pPr>
        <w:widowControl w:val="1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 потенциальных адресатов предлагаемого правового регулирования </w:t>
      </w:r>
      <w:r>
        <w:rPr>
          <w:rFonts w:ascii="Times New Roman" w:hAnsi="Times New Roman"/>
          <w:sz w:val="28"/>
        </w:rPr>
        <w:t xml:space="preserve">предполагаются в виде информационных издержек на подготовку и представление в </w:t>
      </w:r>
      <w:r>
        <w:rPr>
          <w:rFonts w:ascii="Times New Roman" w:hAnsi="Times New Roman"/>
          <w:sz w:val="28"/>
        </w:rPr>
        <w:t xml:space="preserve">администрацию Ленинградского муниципального округа заявления </w:t>
      </w:r>
      <w:r>
        <w:rPr>
          <w:rFonts w:ascii="Times New Roman" w:hAnsi="Times New Roman"/>
          <w:sz w:val="28"/>
        </w:rPr>
        <w:t xml:space="preserve">с прилагаемыми документами и составят примерно </w:t>
      </w:r>
      <w:r>
        <w:rPr>
          <w:color w:themeColor="text1" w:val="000000"/>
          <w:sz w:val="25"/>
        </w:rPr>
        <w:t xml:space="preserve">1 240,3 </w:t>
      </w:r>
      <w:r>
        <w:rPr>
          <w:rFonts w:ascii="Times New Roman" w:hAnsi="Times New Roman"/>
          <w:sz w:val="28"/>
        </w:rPr>
        <w:t>руб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расчете на одного заявителя, при приобретении ЭЦП – 7 240,3 руб.</w:t>
      </w:r>
    </w:p>
    <w:p w14:paraId="51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Согласно </w:t>
      </w:r>
      <w:r>
        <w:rPr>
          <w:rFonts w:ascii="Times New Roman" w:hAnsi="Times New Roman"/>
          <w:sz w:val="24"/>
        </w:rPr>
        <w:t>Методике оценки стандартных издержек субъектов</w:t>
      </w:r>
      <w:r>
        <w:rPr>
          <w:rFonts w:ascii="Times New Roman" w:hAnsi="Times New Roman"/>
          <w:sz w:val="24"/>
        </w:rPr>
        <w:t xml:space="preserve"> предпринимательской и </w:t>
      </w:r>
      <w:r>
        <w:rPr>
          <w:rFonts w:ascii="Times New Roman" w:hAnsi="Times New Roman"/>
          <w:sz w:val="24"/>
        </w:rPr>
        <w:t>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52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Расчет вышеуказанной суммы затрат произведен с использованием калькулятора </w:t>
      </w:r>
      <w:r>
        <w:rPr>
          <w:rFonts w:ascii="Times New Roman" w:hAnsi="Times New Roman"/>
          <w:sz w:val="24"/>
        </w:rPr>
        <w:t>расчета</w:t>
      </w:r>
      <w:r>
        <w:rPr>
          <w:rFonts w:ascii="Times New Roman" w:hAnsi="Times New Roman"/>
          <w:sz w:val="24"/>
        </w:rPr>
        <w:t xml:space="preserve"> стандартных</w:t>
      </w:r>
      <w:r>
        <w:rPr>
          <w:rFonts w:ascii="Times New Roman" w:hAnsi="Times New Roman"/>
          <w:sz w:val="24"/>
        </w:rPr>
        <w:t xml:space="preserve"> издержек: </w:t>
      </w:r>
    </w:p>
    <w:p w14:paraId="53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название требования: предоставление пакета документов;</w:t>
      </w:r>
    </w:p>
    <w:p w14:paraId="54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тип требования: предоставление информации;</w:t>
      </w:r>
    </w:p>
    <w:p w14:paraId="55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раздел требования: информационное;</w:t>
      </w:r>
    </w:p>
    <w:p w14:paraId="56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57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58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масштаб: - </w:t>
      </w:r>
    </w:p>
    <w:p w14:paraId="59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частота: 1 ед.</w:t>
      </w:r>
    </w:p>
    <w:p w14:paraId="5A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Действия:</w:t>
      </w:r>
    </w:p>
    <w:p w14:paraId="5B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написание любого документа низкого уровня сложности (менее 5 стр. печатного </w:t>
      </w:r>
      <w:r>
        <w:rPr>
          <w:rFonts w:ascii="Times New Roman" w:hAnsi="Times New Roman"/>
          <w:sz w:val="24"/>
        </w:rPr>
        <w:t>тек-ста</w:t>
      </w:r>
      <w:r>
        <w:rPr>
          <w:rFonts w:ascii="Times New Roman" w:hAnsi="Times New Roman"/>
          <w:sz w:val="24"/>
        </w:rPr>
        <w:t>) – 1,00 чел./часов;</w:t>
      </w:r>
    </w:p>
    <w:p w14:paraId="5C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копирование документов – 1,00 чел./часов;</w:t>
      </w:r>
    </w:p>
    <w:p w14:paraId="5D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подача заявления – 1,00 чел./часов.</w:t>
      </w:r>
    </w:p>
    <w:p w14:paraId="5E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чел.</w:t>
      </w:r>
      <w:r>
        <w:rPr>
          <w:rFonts w:ascii="Times New Roman" w:hAnsi="Times New Roman"/>
          <w:sz w:val="24"/>
        </w:rPr>
        <w:t>/час</w:t>
      </w:r>
      <w:r>
        <w:rPr>
          <w:rFonts w:ascii="Times New Roman" w:hAnsi="Times New Roman"/>
          <w:sz w:val="24"/>
        </w:rPr>
        <w:t>ов.</w:t>
      </w:r>
    </w:p>
    <w:p w14:paraId="5F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Среднемесячная заработная плата по Ленинградскому округу на 1 апреля </w:t>
      </w:r>
      <w:r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г. </w:t>
      </w:r>
      <w:r>
        <w:rPr>
          <w:rFonts w:ascii="Times New Roman" w:hAnsi="Times New Roman"/>
          <w:sz w:val="24"/>
        </w:rPr>
        <w:t>согласно данным органов</w:t>
      </w:r>
      <w:r>
        <w:rPr>
          <w:rFonts w:ascii="Times New Roman" w:hAnsi="Times New Roman"/>
          <w:sz w:val="24"/>
        </w:rPr>
        <w:t xml:space="preserve"> статистики по крупным и средним предприятиям: 67 222,3</w:t>
      </w:r>
      <w:r>
        <w:rPr>
          <w:rFonts w:ascii="Times New Roman" w:hAnsi="Times New Roman"/>
          <w:sz w:val="24"/>
        </w:rPr>
        <w:t xml:space="preserve"> руб.  </w:t>
      </w:r>
    </w:p>
    <w:p w14:paraId="60000000">
      <w:pPr>
        <w:widowControl w:val="1"/>
        <w:spacing w:after="0"/>
        <w:ind w:firstLine="73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Средняя стоимость часа работы: 400,1</w:t>
      </w:r>
      <w:r>
        <w:rPr>
          <w:rFonts w:ascii="Times New Roman" w:hAnsi="Times New Roman"/>
          <w:sz w:val="24"/>
        </w:rPr>
        <w:t xml:space="preserve"> руб.  </w:t>
      </w:r>
    </w:p>
    <w:p w14:paraId="61000000">
      <w:pPr>
        <w:widowControl w:val="1"/>
        <w:ind w:firstLine="737" w:left="0"/>
        <w:jc w:val="both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4"/>
        </w:rPr>
        <w:t>Стоимость требования: 1 240,3</w:t>
      </w:r>
      <w:r>
        <w:rPr>
          <w:rFonts w:ascii="Times New Roman" w:hAnsi="Times New Roman"/>
          <w:sz w:val="24"/>
        </w:rPr>
        <w:t xml:space="preserve"> руб. в расчете на 1 ед. 400,1</w:t>
      </w:r>
      <w:r>
        <w:rPr>
          <w:rFonts w:ascii="Times New Roman" w:hAnsi="Times New Roman"/>
          <w:sz w:val="24"/>
        </w:rPr>
        <w:t xml:space="preserve"> х </w:t>
      </w:r>
      <w:r>
        <w:rPr>
          <w:rFonts w:ascii="Times New Roman" w:hAnsi="Times New Roman"/>
          <w:sz w:val="24"/>
        </w:rPr>
        <w:t>(1+1+1</w:t>
      </w:r>
      <w:r>
        <w:rPr>
          <w:rFonts w:ascii="Times New Roman" w:hAnsi="Times New Roman"/>
          <w:sz w:val="24"/>
        </w:rPr>
        <w:t>+0,1</w:t>
      </w:r>
      <w:r>
        <w:rPr>
          <w:rFonts w:ascii="Times New Roman" w:hAnsi="Times New Roman"/>
          <w:sz w:val="24"/>
        </w:rPr>
        <w:t>).</w:t>
      </w:r>
    </w:p>
    <w:p w14:paraId="62000000">
      <w:pPr>
        <w:widowControl w:val="1"/>
        <w:ind w:firstLine="737" w:left="0"/>
        <w:jc w:val="both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4"/>
        </w:rPr>
        <w:t>Приобретение ЭЦП – 6 000,0 руб. (для работы на ГИИС «Электронный бюджет», для получения субсидии, для сдачи отчетности (astral.ru))</w:t>
      </w:r>
    </w:p>
    <w:p w14:paraId="63000000">
      <w:pPr>
        <w:pStyle w:val="Style_4"/>
        <w:widowControl w:val="1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Необоснованные расходы, связанные с регулирующим воздействием </w:t>
      </w:r>
      <w:r>
        <w:rPr>
          <w:rFonts w:ascii="Times New Roman" w:hAnsi="Times New Roman"/>
          <w:sz w:val="28"/>
        </w:rPr>
        <w:t>проекта, отсутствуют.</w:t>
      </w:r>
    </w:p>
    <w:p w14:paraId="64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В соответствии с Порядком уполномоченный орган провел публичные консультации по проекту в период с</w:t>
      </w:r>
      <w:r>
        <w:rPr>
          <w:rFonts w:ascii="Times New Roman" w:hAnsi="Times New Roman"/>
          <w:sz w:val="28"/>
        </w:rPr>
        <w:t xml:space="preserve"> 5 июня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 xml:space="preserve">19 июня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.</w:t>
      </w:r>
    </w:p>
    <w:p w14:paraId="6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8.</w:t>
      </w:r>
      <w:r>
        <w:rPr>
          <w:sz w:val="28"/>
        </w:rPr>
        <w:t xml:space="preserve"> </w:t>
      </w:r>
      <w:r>
        <w:rPr>
          <w:sz w:val="28"/>
        </w:rPr>
        <w:t xml:space="preserve">Информация о проводимых публичных консультациях была размещена    на официальном сайте администрации Ленинградского муниципального округа (www.adminlenkub.ru., </w:t>
      </w:r>
      <w:r>
        <w:rPr>
          <w:sz w:val="28"/>
        </w:rPr>
        <w:t xml:space="preserve"> а также направлена в адрес лиц с которыми заключены соглашения о взаимодействии по вопросам проведения оценки регулирующего воздействия</w:t>
      </w:r>
      <w:r>
        <w:rPr>
          <w:sz w:val="28"/>
        </w:rPr>
        <w:t xml:space="preserve"> и </w:t>
      </w:r>
      <w:r>
        <w:rPr>
          <w:sz w:val="28"/>
        </w:rPr>
        <w:t xml:space="preserve">территориальные отделы Ленинградского муниципального </w:t>
      </w:r>
      <w:r>
        <w:rPr>
          <w:sz w:val="28"/>
        </w:rPr>
        <w:t>округа</w:t>
      </w:r>
      <w:r>
        <w:rPr>
          <w:sz w:val="28"/>
        </w:rPr>
        <w:t>.</w:t>
      </w:r>
    </w:p>
    <w:p w14:paraId="66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14:paraId="67000000">
      <w:pPr>
        <w:pStyle w:val="Style_4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</w:t>
      </w:r>
      <w:r>
        <w:rPr>
          <w:rFonts w:ascii="Times New Roman" w:hAnsi="Times New Roman"/>
          <w:sz w:val="28"/>
        </w:rPr>
        <w:t>вводящих избыточные 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Ленинградского муниципального округа</w:t>
      </w:r>
      <w:r>
        <w:rPr>
          <w:rFonts w:ascii="Times New Roman" w:hAnsi="Times New Roman"/>
          <w:sz w:val="28"/>
        </w:rPr>
        <w:t>, и о возможности его дальнейшего согласования.</w:t>
      </w:r>
    </w:p>
    <w:p w14:paraId="68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</w:p>
    <w:p w14:paraId="69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 сектором развития</w:t>
      </w:r>
    </w:p>
    <w:p w14:paraId="6A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предпринимательства </w:t>
      </w:r>
    </w:p>
    <w:p w14:paraId="6B000000">
      <w:pPr>
        <w:pStyle w:val="Style_4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отдела экономики администрации                                                             Н.Г. </w:t>
      </w:r>
      <w:r>
        <w:rPr>
          <w:rFonts w:ascii="Times New Roman" w:hAnsi="Times New Roman"/>
          <w:sz w:val="28"/>
        </w:rPr>
        <w:t>Пырхова</w:t>
      </w: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continuous"/>
      <w:pgSz w:h="16834" w:orient="portrait" w:w="11909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ody Text"/>
    <w:basedOn w:val="Style_5"/>
    <w:link w:val="Style_8_ch"/>
    <w:pPr>
      <w:widowControl w:val="1"/>
      <w:ind/>
      <w:jc w:val="center"/>
    </w:pPr>
    <w:rPr>
      <w:b w:val="1"/>
      <w:caps w:val="1"/>
      <w:sz w:val="28"/>
    </w:rPr>
  </w:style>
  <w:style w:styleId="Style_8_ch" w:type="character">
    <w:name w:val="Body Text"/>
    <w:basedOn w:val="Style_5_ch"/>
    <w:link w:val="Style_8"/>
    <w:rPr>
      <w:b w:val="1"/>
      <w:caps w:val="1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Гипертекстовая ссылка"/>
    <w:link w:val="Style_11_ch"/>
    <w:rPr>
      <w:b w:val="1"/>
      <w:color w:val="008000"/>
      <w:sz w:val="30"/>
    </w:rPr>
  </w:style>
  <w:style w:styleId="Style_11_ch" w:type="character">
    <w:name w:val="Гипертекстовая ссылка"/>
    <w:link w:val="Style_11"/>
    <w:rPr>
      <w:b w:val="1"/>
      <w:color w:val="008000"/>
      <w:sz w:val="30"/>
    </w:rPr>
  </w:style>
  <w:style w:styleId="Style_12" w:type="paragraph">
    <w:name w:val="Основной текст1"/>
    <w:basedOn w:val="Style_5"/>
    <w:link w:val="Style_12_ch"/>
    <w:pPr>
      <w:widowControl w:val="1"/>
      <w:spacing w:line="266" w:lineRule="exact"/>
      <w:ind/>
      <w:jc w:val="center"/>
    </w:pPr>
    <w:rPr>
      <w:spacing w:val="5"/>
      <w:sz w:val="25"/>
    </w:rPr>
  </w:style>
  <w:style w:styleId="Style_12_ch" w:type="character">
    <w:name w:val="Основной текст1"/>
    <w:basedOn w:val="Style_5_ch"/>
    <w:link w:val="Style_12"/>
    <w:rPr>
      <w:spacing w:val="5"/>
      <w:sz w:val="25"/>
    </w:rPr>
  </w:style>
  <w:style w:styleId="Style_13" w:type="paragraph">
    <w:name w:val="No Spacing"/>
    <w:link w:val="Style_13_ch"/>
    <w:rPr>
      <w:sz w:val="26"/>
    </w:rPr>
  </w:style>
  <w:style w:styleId="Style_13_ch" w:type="character">
    <w:name w:val="No Spacing"/>
    <w:link w:val="Style_13"/>
    <w:rPr>
      <w:sz w:val="26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keepLines w:val="1"/>
      <w:widowControl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5_ch" w:type="character">
    <w:name w:val="heading 3"/>
    <w:basedOn w:val="Style_5_ch"/>
    <w:link w:val="Style_15"/>
    <w:rPr>
      <w:rFonts w:asciiTheme="majorAscii" w:hAnsiTheme="majorHAnsi"/>
      <w:b w:val="1"/>
      <w:color w:themeColor="accent1" w:val="4F81BD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Default"/>
    <w:link w:val="Style_17_ch"/>
    <w:rPr>
      <w:color w:val="000000"/>
      <w:sz w:val="24"/>
    </w:rPr>
  </w:style>
  <w:style w:styleId="Style_17_ch" w:type="character">
    <w:name w:val="Default"/>
    <w:link w:val="Style_17"/>
    <w:rPr>
      <w:color w:val="000000"/>
      <w:sz w:val="24"/>
    </w:rPr>
  </w:style>
  <w:style w:styleId="Style_18" w:type="paragraph">
    <w:name w:val="Strong"/>
    <w:basedOn w:val="Style_16"/>
    <w:link w:val="Style_18_ch"/>
    <w:rPr>
      <w:b w:val="1"/>
    </w:rPr>
  </w:style>
  <w:style w:styleId="Style_18_ch" w:type="character">
    <w:name w:val="Strong"/>
    <w:basedOn w:val="Style_16_ch"/>
    <w:link w:val="Style_18"/>
    <w:rPr>
      <w:b w:val="1"/>
    </w:rPr>
  </w:style>
  <w:style w:styleId="Style_19" w:type="paragraph">
    <w:name w:val="toc 3"/>
    <w:next w:val="Style_5"/>
    <w:link w:val="Style_1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5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21" w:type="paragraph">
    <w:name w:val="Основной текст2"/>
    <w:basedOn w:val="Style_5"/>
    <w:link w:val="Style_21_ch"/>
    <w:pPr>
      <w:widowControl w:val="1"/>
      <w:spacing w:after="1560" w:line="317" w:lineRule="exact"/>
      <w:ind/>
    </w:pPr>
    <w:rPr>
      <w:color w:val="000000"/>
      <w:spacing w:val="8"/>
      <w:sz w:val="24"/>
    </w:rPr>
  </w:style>
  <w:style w:styleId="Style_21_ch" w:type="character">
    <w:name w:val="Основной текст2"/>
    <w:basedOn w:val="Style_5_ch"/>
    <w:link w:val="Style_21"/>
    <w:rPr>
      <w:color w:val="000000"/>
      <w:spacing w:val="8"/>
      <w:sz w:val="24"/>
    </w:rPr>
  </w:style>
  <w:style w:styleId="Style_22" w:type="paragraph">
    <w:name w:val="Знак"/>
    <w:basedOn w:val="Style_5"/>
    <w:link w:val="Style_22_ch"/>
    <w:pPr>
      <w:widowControl w:val="1"/>
      <w:spacing w:after="160" w:line="240" w:lineRule="exact"/>
      <w:ind/>
    </w:pPr>
    <w:rPr>
      <w:rFonts w:ascii="Verdana" w:hAnsi="Verdana"/>
    </w:rPr>
  </w:style>
  <w:style w:styleId="Style_22_ch" w:type="character">
    <w:name w:val="Знак"/>
    <w:basedOn w:val="Style_5_ch"/>
    <w:link w:val="Style_22"/>
    <w:rPr>
      <w:rFonts w:ascii="Verdana" w:hAnsi="Verdana"/>
    </w:rPr>
  </w:style>
  <w:style w:styleId="Style_23" w:type="paragraph">
    <w:name w:val="heading 1"/>
    <w:basedOn w:val="Style_5"/>
    <w:next w:val="Style_5"/>
    <w:link w:val="Style_23_ch"/>
    <w:uiPriority w:val="9"/>
    <w:qFormat/>
    <w:pPr>
      <w:keepNext w:val="1"/>
      <w:widowControl w:val="1"/>
      <w:spacing w:line="302" w:lineRule="exact"/>
      <w:ind w:left="1094"/>
      <w:outlineLvl w:val="0"/>
    </w:pPr>
    <w:rPr>
      <w:b w:val="1"/>
      <w:color w:val="000000"/>
      <w:spacing w:val="-4"/>
      <w:sz w:val="28"/>
    </w:rPr>
  </w:style>
  <w:style w:styleId="Style_23_ch" w:type="character">
    <w:name w:val="heading 1"/>
    <w:basedOn w:val="Style_5_ch"/>
    <w:link w:val="Style_23"/>
    <w:rPr>
      <w:b w:val="1"/>
      <w:color w:val="000000"/>
      <w:spacing w:val="-4"/>
      <w:sz w:val="28"/>
    </w:rPr>
  </w:style>
  <w:style w:styleId="Style_24" w:type="paragraph">
    <w:name w:val="Hyperlink"/>
    <w:basedOn w:val="Style_16"/>
    <w:link w:val="Style_24_ch"/>
    <w:rPr>
      <w:color w:val="0066CC"/>
      <w:u w:val="single"/>
    </w:rPr>
  </w:style>
  <w:style w:styleId="Style_24_ch" w:type="character">
    <w:name w:val="Hyperlink"/>
    <w:basedOn w:val="Style_16_ch"/>
    <w:link w:val="Style_24"/>
    <w:rPr>
      <w:color w:val="0066CC"/>
      <w:u w:val="single"/>
    </w:rPr>
  </w:style>
  <w:style w:styleId="Style_25" w:type="paragraph">
    <w:name w:val="Footnote"/>
    <w:link w:val="Style_2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5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ConsPlusTitle"/>
    <w:link w:val="Style_27_ch"/>
    <w:pPr>
      <w:widowControl w:val="0"/>
      <w:ind/>
    </w:pPr>
    <w:rPr>
      <w:rFonts w:ascii="Arial" w:hAnsi="Arial"/>
      <w:b w:val="1"/>
    </w:rPr>
  </w:style>
  <w:style w:styleId="Style_27_ch" w:type="character">
    <w:name w:val="ConsPlusTitle"/>
    <w:link w:val="Style_27"/>
    <w:rPr>
      <w:rFonts w:ascii="Arial" w:hAnsi="Arial"/>
      <w:b w:val="1"/>
    </w:rPr>
  </w:style>
  <w:style w:styleId="Style_28" w:type="paragraph">
    <w:name w:val="Header and Footer"/>
    <w:link w:val="Style_2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widowControl w:val="1"/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5_ch"/>
    <w:link w:val="Style_2"/>
  </w:style>
  <w:style w:styleId="Style_29" w:type="paragraph">
    <w:name w:val="toc 9"/>
    <w:next w:val="Style_5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List Paragraph"/>
    <w:basedOn w:val="Style_5"/>
    <w:link w:val="Style_30_ch"/>
    <w:pPr>
      <w:widowControl w:val="1"/>
      <w:ind w:left="720"/>
      <w:contextualSpacing w:val="1"/>
    </w:pPr>
  </w:style>
  <w:style w:styleId="Style_30_ch" w:type="character">
    <w:name w:val="List Paragraph"/>
    <w:basedOn w:val="Style_5_ch"/>
    <w:link w:val="Style_30"/>
  </w:style>
  <w:style w:styleId="Style_31" w:type="paragraph">
    <w:name w:val="Balloon Text"/>
    <w:basedOn w:val="Style_5"/>
    <w:link w:val="Style_31_ch"/>
    <w:rPr>
      <w:rFonts w:ascii="Tahoma" w:hAnsi="Tahoma"/>
      <w:sz w:val="16"/>
    </w:rPr>
  </w:style>
  <w:style w:styleId="Style_31_ch" w:type="character">
    <w:name w:val="Balloon Text"/>
    <w:basedOn w:val="Style_5_ch"/>
    <w:link w:val="Style_31"/>
    <w:rPr>
      <w:rFonts w:ascii="Tahoma" w:hAnsi="Tahoma"/>
      <w:sz w:val="16"/>
    </w:rPr>
  </w:style>
  <w:style w:styleId="Style_32" w:type="paragraph">
    <w:name w:val="toc 8"/>
    <w:next w:val="Style_5"/>
    <w:link w:val="Style_3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Прижатый влево"/>
    <w:basedOn w:val="Style_5"/>
    <w:next w:val="Style_5"/>
    <w:link w:val="Style_33_ch"/>
    <w:pPr>
      <w:widowControl w:val="1"/>
      <w:ind/>
    </w:pPr>
    <w:rPr>
      <w:rFonts w:ascii="Cambria Math" w:hAnsi="Cambria Math"/>
      <w:sz w:val="24"/>
    </w:rPr>
  </w:style>
  <w:style w:styleId="Style_33_ch" w:type="character">
    <w:name w:val="Прижатый влево"/>
    <w:basedOn w:val="Style_5_ch"/>
    <w:link w:val="Style_33"/>
    <w:rPr>
      <w:rFonts w:ascii="Cambria Math" w:hAnsi="Cambria Math"/>
      <w:sz w:val="24"/>
    </w:rPr>
  </w:style>
  <w:style w:styleId="Style_34" w:type="paragraph">
    <w:name w:val="toc 5"/>
    <w:next w:val="Style_5"/>
    <w:link w:val="Style_3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сновной текст (2)"/>
    <w:basedOn w:val="Style_5"/>
    <w:link w:val="Style_35_ch"/>
    <w:pPr>
      <w:widowControl w:val="1"/>
      <w:spacing w:after="120" w:line="0" w:lineRule="atLeast"/>
      <w:ind w:hanging="120"/>
      <w:jc w:val="center"/>
    </w:pPr>
    <w:rPr>
      <w:sz w:val="28"/>
    </w:rPr>
  </w:style>
  <w:style w:styleId="Style_35_ch" w:type="character">
    <w:name w:val="Основной текст (2)"/>
    <w:basedOn w:val="Style_5_ch"/>
    <w:link w:val="Style_35"/>
    <w:rPr>
      <w:sz w:val="28"/>
    </w:rPr>
  </w:style>
  <w:style w:styleId="Style_36" w:type="paragraph">
    <w:name w:val="Нормальный (таблица)"/>
    <w:basedOn w:val="Style_5"/>
    <w:next w:val="Style_5"/>
    <w:link w:val="Style_36_ch"/>
    <w:pPr>
      <w:widowControl w:val="1"/>
      <w:ind/>
      <w:jc w:val="both"/>
    </w:pPr>
    <w:rPr>
      <w:rFonts w:ascii="Arial" w:hAnsi="Arial"/>
      <w:sz w:val="24"/>
    </w:rPr>
  </w:style>
  <w:style w:styleId="Style_36_ch" w:type="character">
    <w:name w:val="Нормальный (таблица)"/>
    <w:basedOn w:val="Style_5_ch"/>
    <w:link w:val="Style_36"/>
    <w:rPr>
      <w:rFonts w:ascii="Arial" w:hAnsi="Arial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7" w:type="paragraph">
    <w:name w:val="Subtitle"/>
    <w:next w:val="Style_5"/>
    <w:link w:val="Style_3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Title"/>
    <w:next w:val="Style_5"/>
    <w:link w:val="Style_3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8_ch" w:type="character">
    <w:name w:val="Title"/>
    <w:link w:val="Style_38"/>
    <w:rPr>
      <w:rFonts w:ascii="XO Thames" w:hAnsi="XO Thames"/>
      <w:b w:val="1"/>
      <w:caps w:val="1"/>
      <w:sz w:val="40"/>
    </w:rPr>
  </w:style>
  <w:style w:styleId="Style_39" w:type="paragraph">
    <w:name w:val="heading 4"/>
    <w:next w:val="Style_5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blk"/>
    <w:basedOn w:val="Style_16"/>
    <w:link w:val="Style_40_ch"/>
  </w:style>
  <w:style w:styleId="Style_40_ch" w:type="character">
    <w:name w:val="blk"/>
    <w:basedOn w:val="Style_16_ch"/>
    <w:link w:val="Style_40"/>
  </w:style>
  <w:style w:styleId="Style_41" w:type="paragraph">
    <w:name w:val="heading 2"/>
    <w:basedOn w:val="Style_5"/>
    <w:next w:val="Style_5"/>
    <w:link w:val="Style_41_ch"/>
    <w:uiPriority w:val="9"/>
    <w:qFormat/>
    <w:pPr>
      <w:keepNext w:val="1"/>
      <w:widowControl w:val="1"/>
      <w:spacing w:line="302" w:lineRule="exact"/>
      <w:ind/>
      <w:jc w:val="center"/>
      <w:outlineLvl w:val="1"/>
    </w:pPr>
    <w:rPr>
      <w:b w:val="1"/>
      <w:caps w:val="1"/>
      <w:color w:val="000000"/>
      <w:spacing w:val="-7"/>
      <w:sz w:val="28"/>
    </w:rPr>
  </w:style>
  <w:style w:styleId="Style_41_ch" w:type="character">
    <w:name w:val="heading 2"/>
    <w:basedOn w:val="Style_5_ch"/>
    <w:link w:val="Style_41"/>
    <w:rPr>
      <w:b w:val="1"/>
      <w:caps w:val="1"/>
      <w:color w:val="000000"/>
      <w:spacing w:val="-7"/>
      <w:sz w:val="28"/>
    </w:rPr>
  </w:style>
  <w:style w:styleId="Style_3" w:type="paragraph">
    <w:name w:val="ConsPlusNormal"/>
    <w:link w:val="Style_3_ch"/>
    <w:pPr>
      <w:widowControl w:val="0"/>
      <w:ind/>
    </w:pPr>
    <w:rPr>
      <w:rFonts w:ascii="Calibri" w:hAnsi="Calibri"/>
      <w:sz w:val="22"/>
    </w:rPr>
  </w:style>
  <w:style w:styleId="Style_3_ch" w:type="character">
    <w:name w:val="ConsPlusNormal"/>
    <w:link w:val="Style_3"/>
    <w:rPr>
      <w:rFonts w:ascii="Calibri" w:hAnsi="Calibri"/>
      <w:sz w:val="22"/>
    </w:rPr>
  </w:style>
  <w:style w:styleId="Style_42" w:type="table">
    <w:name w:val="Table Grid"/>
    <w:basedOn w:val="Style_4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oter4.xml" Type="http://schemas.openxmlformats.org/officeDocument/2006/relationships/footer"/>
  <Relationship Id="rId1" Target="header1.xml" Type="http://schemas.openxmlformats.org/officeDocument/2006/relationships/header"/>
  <Relationship Id="rId8" Target="settings.xml" Type="http://schemas.openxmlformats.org/officeDocument/2006/relationships/settings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7" Target="fontTable.xml" Type="http://schemas.openxmlformats.org/officeDocument/2006/relationships/fontTable"/>
  <Relationship Id="rId5" Target="header5.xml" Type="http://schemas.openxmlformats.org/officeDocument/2006/relationships/head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9" Target="styles.xml" Type="http://schemas.openxmlformats.org/officeDocument/2006/relationships/styles"/>
  <Relationship Id="rId6" Target="footer6.xml" Type="http://schemas.openxmlformats.org/officeDocument/2006/relationships/footer"/>
  <Relationship Id="rId11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2026-02-19T07:37:00Z</dcterms:created>
  <dcterms:modified xsi:type="dcterms:W3CDTF">2026-06-26T07:54:08Z</dcterms:modified>
</cp:coreProperties>
</file>