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left="0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Приложение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муниципального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26.09.2025 г. № 112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«Приложени</w:t>
      </w:r>
      <w:r>
        <w:rPr>
          <w:rFonts w:ascii="FreeSerif" w:hAnsi="FreeSerif" w:eastAsia="FreeSerif" w:cs="FreeSerif"/>
          <w:sz w:val="28"/>
          <w:szCs w:val="28"/>
        </w:rPr>
        <w:t xml:space="preserve">е 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24.12.2024 г. № 146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244" w:right="0" w:firstLine="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576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Объем поступлений доходов в бюджет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Ленинградский муниципальный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jc w:val="center"/>
        <w:spacing w:line="22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о кодам видов (подвидов)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ходов </w:t>
      </w:r>
      <w:r>
        <w:rPr>
          <w:rFonts w:ascii="FreeSerif" w:hAnsi="FreeSerif" w:eastAsia="FreeSerif" w:cs="FreeSerif"/>
          <w:sz w:val="28"/>
          <w:szCs w:val="28"/>
        </w:rPr>
        <w:t xml:space="preserve">на 20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 и </w:t>
      </w:r>
      <w:r>
        <w:rPr>
          <w:rFonts w:ascii="FreeSerif" w:hAnsi="FreeSerif" w:eastAsia="FreeSerif" w:cs="FreeSerif"/>
          <w:sz w:val="28"/>
          <w:szCs w:val="28"/>
        </w:rPr>
        <w:t xml:space="preserve">202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 год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0" w:right="-82" w:firstLine="0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ind w:left="7080" w:right="-82" w:firstLine="708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(тыс. рублей)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700"/>
        <w:gridCol w:w="3600"/>
        <w:gridCol w:w="1922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Наименование групп, подгрупп, ста</w:t>
            </w: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тей, подстатей, элементов, програ</w:t>
            </w: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мм (подпрограмм), кодов экономической классификации доходов</w:t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color w:val="000000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ind w:left="-108" w:right="-108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Годовое назначение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  <w:p>
            <w:pPr>
              <w:pStyle w:val="872"/>
              <w:ind w:left="-108" w:right="-108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20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г.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ind w:left="-108" w:right="-108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Годовое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назнач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ение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г.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Доходы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237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988,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226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736,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9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1 01 00000 00 0000 000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754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501,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718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569,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1 01 01000 00 0000 110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ind w:right="-468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Налог на прибыль организаций, зачисляемый в бюджеты субъектов Российской Федерации 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48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047,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49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489,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1 01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0200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0 01 0000 110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г на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доходы физических лиц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706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453,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669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080,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Style w:val="883"/>
                <w:rFonts w:ascii="FreeSerif" w:hAnsi="FreeSerif" w:eastAsia="FreeSerif" w:cs="FreeSerif"/>
                <w:b w:val="0"/>
                <w:bCs/>
                <w:sz w:val="24"/>
                <w:szCs w:val="24"/>
              </w:rPr>
              <w:t xml:space="preserve">Налоги на това</w:t>
            </w:r>
            <w:r>
              <w:rPr>
                <w:rStyle w:val="883"/>
                <w:rFonts w:ascii="FreeSerif" w:hAnsi="FreeSerif" w:eastAsia="FreeSerif" w:cs="FreeSerif"/>
                <w:b w:val="0"/>
                <w:bCs/>
                <w:sz w:val="24"/>
                <w:szCs w:val="24"/>
              </w:rPr>
              <w:t xml:space="preserve">ры (</w:t>
            </w:r>
            <w:r>
              <w:rPr>
                <w:rStyle w:val="883"/>
                <w:rFonts w:ascii="FreeSerif" w:hAnsi="FreeSerif" w:eastAsia="FreeSerif" w:cs="FreeSerif"/>
                <w:b w:val="0"/>
                <w:bCs/>
                <w:sz w:val="24"/>
                <w:szCs w:val="24"/>
              </w:rPr>
              <w:t xml:space="preserve">работы, услуги), реализуемые на территории Российской Федерации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44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204,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58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644,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1 03 02230 01 0000 110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1 03 02240 01 0000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1 03 02250 01 00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2"/>
              <w:jc w:val="both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1 03 02260 01 0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уплаты акцизов на нефт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продукты, производимые на терр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тории Российс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кой Федерации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по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лежащие распределению между бюджетами субъектов Росси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ской Федерации и местными бюджетами с учетом дифференцир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ованных нормативов от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чис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лений в местные бюд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жеты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44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204,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58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644,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270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262,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1 05 01000 00 0000 110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137,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581,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1 05 03000 01 0000 1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Единый с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ельскохозяй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ственный на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лог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98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505,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101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460,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1 05 040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0 0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Налог, взимаемый в связи с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применением патентной систе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мы налогообложения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зачисляемый в бюдж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еты муниципальных округов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23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620,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24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100,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1 06 01020 14 0000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Налог на имущест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 физических ли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ц, взи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маемый по ставкам, применяемым к объек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там налогообложения, расположенным в границах муниципальных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310,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287,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1 06 02000 02 0000 110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Налог на имущество организаций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645,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2698,0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1 06 06032 14 0000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110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организаций,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бладающих земельным участком, расположенным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раницах муниципальных округов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35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233,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35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917,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1 06 06042 14 0000 110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Земельный налог с физически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 лиц, обладающих земельным участком, расположенным в границах муниципаль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ных о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34 367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34 856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1 08 00000 00 0000 000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Госпошлина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364,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573,0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80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Арендная плата за земли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1 11 0507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80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Доходы от сдачи в аренду имущества, составляющего казну муниципальных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(за иск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лючен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ием земельных участков)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310,2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310,2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2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1 11 0904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80"/>
              <w:tabs>
                <w:tab w:val="clear" w:pos="4677" w:leader="none"/>
                <w:tab w:val="clear" w:pos="9355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поступлен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ия от использования имущества, находящегося в собственности муниципальных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округов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ипальных унитарных предприятий, в том числе казен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ных)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221,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1 12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01000 01 0000 120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560,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1 13 0199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0000 130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Прочие доходы от оказания платных услуг (работ) получателями сре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дств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бюджетов муниципальных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округов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188,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188,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16 00000 00 0000 000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3600" w:type="dxa"/>
            <w:vAlign w:val="top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Денеж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ные взыскания (штрафы), санкции, возмещение ущерба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702,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  <w:highlight w:val="yellow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1702,0</w:t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  <w:r>
              <w:rPr>
                <w:rFonts w:ascii="FreeSerif" w:hAnsi="FreeSerif" w:cs="FreeSerif"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5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588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349,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519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567,1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2 02 10000 00 0000 151 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5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Дотации бю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джета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м субъектов РФ и муниципальных образований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196 7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88,3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193 146,0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2 02 20000 0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0 0000 150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5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161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416,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69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776,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700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</w:rPr>
              <w:t xml:space="preserve">2 02 30000 00 0000 151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5"/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Субвенции бюджетам субъектов РФ и муницип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альны</w:t>
            </w:r>
            <w:r>
              <w:rPr>
                <w:rFonts w:ascii="FreeSerif" w:hAnsi="FreeSerif" w:eastAsia="FreeSerif" w:cs="FreeSerif"/>
                <w:b w:val="0"/>
                <w:bCs w:val="0"/>
                <w:sz w:val="24"/>
                <w:szCs w:val="24"/>
              </w:rPr>
              <w:t xml:space="preserve">х образований</w:t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  <w:r>
              <w:rPr>
                <w:rFonts w:ascii="FreeSerif" w:hAnsi="FreeSerif" w:cs="FreeSerif"/>
                <w:b w:val="0"/>
                <w:bCs w:val="0"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1 230 145,6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1 256 644,3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700" w:type="dxa"/>
            <w:vAlign w:val="bottom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72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Всего д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оходов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922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826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338,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rFonts w:ascii="FreeSerif" w:hAnsi="FreeSerif" w:cs="FreeSerif"/>
                <w:bCs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 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746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30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,5</w:t>
            </w:r>
            <w:r>
              <w:rPr>
                <w:rFonts w:ascii="FreeSerif" w:hAnsi="FreeSerif" w:eastAsia="FreeSerif" w:cs="FreeSerif"/>
                <w:bCs/>
                <w:sz w:val="24"/>
                <w:szCs w:val="24"/>
              </w:rPr>
              <w:t xml:space="preserve"> </w:t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  <w:r>
              <w:rPr>
                <w:rFonts w:ascii="FreeSerif" w:hAnsi="FreeSerif" w:cs="FreeSerif"/>
                <w:bCs/>
                <w:sz w:val="24"/>
                <w:szCs w:val="24"/>
              </w:rPr>
            </w:r>
          </w:p>
        </w:tc>
      </w:tr>
    </w:tbl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 Ленинградского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финансового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7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567" w:right="68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separate"/>
    </w:r>
    <w:r>
      <w:rPr>
        <w:rStyle w:val="881"/>
      </w:rPr>
      <w:t xml:space="preserve">3</w: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rPr>
      <w:sz w:val="24"/>
      <w:szCs w:val="24"/>
      <w:lang w:val="ru-RU" w:eastAsia="ru-RU" w:bidi="ar-SA"/>
    </w:rPr>
  </w:style>
  <w:style w:type="paragraph" w:styleId="873">
    <w:name w:val="Заголовок 1"/>
    <w:basedOn w:val="872"/>
    <w:next w:val="872"/>
    <w:link w:val="872"/>
    <w:qFormat/>
    <w:pPr>
      <w:ind w:right="-1188"/>
      <w:jc w:val="center"/>
      <w:keepNext/>
      <w:outlineLvl w:val="0"/>
    </w:pPr>
    <w:rPr>
      <w:sz w:val="28"/>
    </w:rPr>
  </w:style>
  <w:style w:type="paragraph" w:styleId="874">
    <w:name w:val="Заголовок 2"/>
    <w:basedOn w:val="872"/>
    <w:next w:val="872"/>
    <w:link w:val="872"/>
    <w:qFormat/>
    <w:pPr>
      <w:keepNext/>
      <w:tabs>
        <w:tab w:val="left" w:pos="5985" w:leader="none"/>
        <w:tab w:val="right" w:pos="9355" w:leader="none"/>
      </w:tabs>
      <w:outlineLvl w:val="1"/>
    </w:pPr>
    <w:rPr>
      <w:sz w:val="28"/>
      <w:szCs w:val="28"/>
    </w:rPr>
  </w:style>
  <w:style w:type="paragraph" w:styleId="875">
    <w:name w:val="Заголовок 3"/>
    <w:basedOn w:val="872"/>
    <w:next w:val="872"/>
    <w:link w:val="872"/>
    <w:qFormat/>
    <w:pPr>
      <w:keepNext/>
      <w:outlineLvl w:val="2"/>
    </w:pPr>
    <w:rPr>
      <w:b/>
      <w:bCs/>
      <w:color w:val="000000"/>
      <w:szCs w:val="28"/>
    </w:rPr>
  </w:style>
  <w:style w:type="paragraph" w:styleId="876">
    <w:name w:val="Заголовок 4"/>
    <w:basedOn w:val="872"/>
    <w:next w:val="872"/>
    <w:link w:val="872"/>
    <w:qFormat/>
    <w:pPr>
      <w:ind w:left="5760"/>
      <w:jc w:val="center"/>
      <w:keepNext/>
      <w:outlineLvl w:val="3"/>
    </w:pPr>
    <w:rPr>
      <w:sz w:val="28"/>
    </w:rPr>
  </w:style>
  <w:style w:type="character" w:styleId="877">
    <w:name w:val="Основной шрифт абзаца"/>
    <w:next w:val="877"/>
    <w:link w:val="872"/>
    <w:semiHidden/>
  </w:style>
  <w:style w:type="table" w:styleId="878">
    <w:name w:val="Обычная таблица"/>
    <w:next w:val="878"/>
    <w:link w:val="872"/>
    <w:semiHidden/>
    <w:tblPr/>
  </w:style>
  <w:style w:type="numbering" w:styleId="879">
    <w:name w:val="Нет списка"/>
    <w:next w:val="879"/>
    <w:link w:val="872"/>
    <w:semiHidden/>
  </w:style>
  <w:style w:type="paragraph" w:styleId="880">
    <w:name w:val="Верхний колонтитул"/>
    <w:basedOn w:val="872"/>
    <w:next w:val="880"/>
    <w:link w:val="872"/>
    <w:pPr>
      <w:tabs>
        <w:tab w:val="center" w:pos="4677" w:leader="none"/>
        <w:tab w:val="right" w:pos="9355" w:leader="none"/>
      </w:tabs>
    </w:pPr>
  </w:style>
  <w:style w:type="character" w:styleId="881">
    <w:name w:val="Номер страницы"/>
    <w:basedOn w:val="877"/>
    <w:next w:val="881"/>
    <w:link w:val="872"/>
  </w:style>
  <w:style w:type="paragraph" w:styleId="882">
    <w:name w:val="Текст выноски"/>
    <w:basedOn w:val="872"/>
    <w:next w:val="882"/>
    <w:link w:val="872"/>
    <w:semiHidden/>
    <w:rPr>
      <w:rFonts w:ascii="Tahoma" w:hAnsi="Tahoma" w:cs="Tahoma"/>
      <w:sz w:val="16"/>
      <w:szCs w:val="16"/>
    </w:rPr>
  </w:style>
  <w:style w:type="character" w:styleId="883">
    <w:name w:val="Цветовое выделение"/>
    <w:next w:val="883"/>
    <w:link w:val="872"/>
    <w:rPr>
      <w:b/>
      <w:color w:val="26282f"/>
      <w:sz w:val="26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andrushchenko</dc:creator>
  <cp:revision>5</cp:revision>
  <dcterms:created xsi:type="dcterms:W3CDTF">2025-09-24T07:29:00Z</dcterms:created>
  <dcterms:modified xsi:type="dcterms:W3CDTF">2025-09-30T08:39:38Z</dcterms:modified>
  <cp:version>1048576</cp:version>
</cp:coreProperties>
</file>