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по противодействию коррупции в сферах деятельности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по противодействию коррупции в сферах деятельности органов местного самоуправления 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69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ст. Ленинградская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– администрация, каб №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заседания: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54"/>
        <w:gridCol w:w="6411"/>
        <w:gridCol w:w="6411"/>
      </w:tblGrid>
      <w:tr>
        <w:tblPrEx/>
        <w:trPr>
          <w:trHeight w:val="56"/>
        </w:trPr>
        <w:tc>
          <w:tcPr>
            <w:shd w:val="clear" w:color="ffffff" w:fill="ffffff"/>
            <w:tcW w:w="30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Шерстобитов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Виталий Николаевич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лав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район, заместитель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председател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Совета;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05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Головатский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Денис Леонидович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Мазурова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Юлия Иван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Мальченко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Вадим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Бараник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Виктор Викторович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Черныш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Юлиана Игоревна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Эпп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Сергей Григорьевич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Деркач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Олег Анатольевич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Запорожец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Валерий Викторович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Коровайный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Максим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Плугатырев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Денис Вячеславович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Иванченко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Андрей Васильевич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юридического отдела администрации муниципального образования, секретарь Совета;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главы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главы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Коржовского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Новоуманского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Новоплатнировского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Крыловского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hanging="1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Восточного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Первомайского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hanging="1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Куликовского сельского поселения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главный редактор газеты «Степные зори»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0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Лыгина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Юлия Алексеевна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исполняющий обязанности начальника юридического отдела администрации муниципального образования;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05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Цымбал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Ольга Викторовна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Шевченко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Татьяна Леонидовна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Образцового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Западного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05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Скоробогаченко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Иван Сергеевич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Ленинградского сельского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Ленинградского района;.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05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Олейник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 Николаевич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Белохуторского сельского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0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Пруцкова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Людмила Вячеславовна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6411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глава Уманского сельского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6411" w:type="dxa"/>
            <w:vMerge w:val="restart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6"/>
        </w:trPr>
        <w:tc>
          <w:tcPr>
            <w:shd w:val="clear" w:color="ffffff" w:fill="ffffff"/>
            <w:tcW w:w="30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Шмаровоз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Сергей Николаевич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6411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главы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6411" w:type="dxa"/>
            <w:vMerge w:val="restart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Повестка дня: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numPr>
          <w:ilvl w:val="0"/>
          <w:numId w:val="7"/>
        </w:numPr>
        <w:ind w:left="425" w:right="0" w:hanging="360"/>
        <w:jc w:val="both"/>
        <w:spacing w:after="0" w:line="240" w:lineRule="auto"/>
        <w:widowControl w:val="off"/>
        <w:tabs>
          <w:tab w:val="left" w:pos="529" w:leader="none"/>
          <w:tab w:val="left" w:pos="692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плана антикоррупционных мероприятий по противодействию коррупции на территории муниципального образования Ленинградский район за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докладчик </w:t>
      </w:r>
      <w:r>
        <w:rPr>
          <w:rFonts w:ascii="Times New Roman" w:hAnsi="Times New Roman" w:cs="Times New Roman"/>
          <w:sz w:val="28"/>
          <w:szCs w:val="28"/>
        </w:rPr>
        <w:t xml:space="preserve">Д.Л.Головатский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Рассмотрения вопросов повестки дня: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вопрос: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исполнении плана антикоррупционных мероприятий по противодействию коррупции на территории муниципального образования Ленинградский район за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полугодие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85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муниципального образования Ленинградский район от 24 апреля 2015 года №348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 мониторинге восприятия уровня коррупции в органах местного самоуправления муниципального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образования Ленинградский район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(далее - постановление №348) утверждено положение о порядке мониторинга восприятия уровня коррупции в органах местного самоуправления муниципального образования Ленинградский район, а также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утверждена методика мониторинга восприятия уровня коррупции в органах местного самоуправления муниципального образования Ленинградский район. Согласно п.6 Положения о порядке мониторинга восприятия уровня коррупции в органах местного самоуправления муници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пального образования Ленинградский район, утвержденного постановлением №348, ежегодно, в срок до 1 апреля года, следующего за отчетным, формируется отчет о результатах проеденного мониторинга и оценки уровня восприятия коррупции в муниципальном образовании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а также доклад по итогам года о восприятии уровня коррупции в органах местного самоуправления муниципального образования Ленинградский район со стороны общества и бизнеса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который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размещается в средствах массовой информации района.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Показатели, по которым осуществляется мониторинг и оценка уровня восприятия коррупции: 1. Характеристика практики бытовой коррупции; 2. Характеристик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практики деловой коррупции; 3. Доверие к органам местного самоуправления муниципального образования Ленинградский район со стороны граждан; 4. Доверие к органам местного самоуправления муниципального образования Ленинградский район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 стороны бизнеса; 5. Оценка гражданами коррумпированности органов местного самоуправления муниципального образования Ленинградский район; 6. Оценка бизнесом коррумпированности органов местного самоуправления муниципального образования Ленинградский район.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Доклад о мониторинге восприятия уровня коррупции в муниципальном образовании Ленинградский район в 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году опубликован на официальном сайте администрации муниципального образования Ленинградский район (</w:t>
      </w:r>
      <w:hyperlink r:id="rId10" w:tooltip="http://adminlenkub.ru/region/stopkor/analiz.php" w:history="1">
        <w:r>
          <w:rPr>
            <w:rStyle w:val="877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http://adminlenkub.ru/region/stopkor/analiz.php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муниципального образования Ленинградский район от 29 апреля 2015 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ода №364 Утверждена методика мониторинга коррупционных рисков в отраслевых (функциональных) органах администрации муниципального образования Ленинградский район и подведомственных им учреждениях для определения перечня должностей, в наибольшей степени подв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ерженных риску коррупции. Мониторинг коррупционных рисков проводится на основании данных полученных в результате: независимой экспертизы проектов нормативных правовых актов органов местного самоуправления муниципального образования Ленинградский район на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оррупциогенность; независимой экспертизы нормативных правовых актов органов местного самоуправления муниципального образования Ленинградский район на коррупциогенность; общественной экспертизы социально - значимых решений органов местного самоуправления му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ниципального образования Ленинградский район и отраслевых (функциональных) органов администрации муниципального образования Ленинградский район, подведомственных им учреждений; экспертизы жалоб и обращений граждан по телефону «горячей линии» 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Ленинградский район на наличие сведений о фактах коррупции; мониторинга восприятия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уровня коррупции в органах местного самоуправления муниципального образования Ленинградский район; статистического наблюдения за уровнем регистрируемых коррупционных правонарушений. Согласно оценке граждан и представителей бизнеса, наиболее коррумпированн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ой сферой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среди отраслевых (функциональных) органов администрации муниципального образования Ленинградский район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 сфер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архитектуры, имущественных отношений и муниципальных закупок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основании проведенного анализа указанной информации, в целях дальнейшей нейтрализации коррупционных рисков предлагается: 1. Довести отчет до сведения руководителей всех 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уктурных подразделений администрации муниципального образования Ленинградский район, глав поселений Ленинградского района. 2. Руководителям структурных подразделений администрации муниципального образования Ленинградский район, главам поселений Ленинградск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ого района продолжать проводить работу среди подчиненных о недопущении фактов коррупционных проявлений. 3. Руководителям структурных подразделений администрации муниципального образования Ленинградский район, которые в результате мониторинга по оценке граж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дан относятся к наиболее коррумпированным, продолжать проводить работу среди подчиненных о недопущении фактов взяточничества, стяжательства и получения подарков. Доклад о мониторинге коррупционных рисков в муниципальном образовании Ленинградский район в 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году опубликован на официальном сайте администрации муниципального образования Ленинградский район (</w:t>
      </w:r>
      <w:hyperlink r:id="rId11" w:tooltip="http://adminlenkub.ru/region/stopkor/analiz.php" w:history="1">
        <w:r>
          <w:rPr>
            <w:rStyle w:val="877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http://adminlenkub.ru/region/stopkor/analiz.php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муниципального образования Ленинградский район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марта 201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 №3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утвержден перечень,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должностей муниципальной службы администрации муниципального образования Ленинградский район, при назначении на которые граждане и при замещении которых мун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связи с утвержденными постановлением администрации муниципального образования Ленинградский район от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февраля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квалификационными требованиями для замещения должностей муниципальной службы в администрации муниципального образования Ленинградский район, руководствуясь Федеральным законом от 2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арта 2007 года N 25-ФЗ «О муниципальной службе в Российской Федерации», Законами Краснодарского края от 8 июня 2007 года N 1244-КЗ «О муниципальной службе в Краснодарском крае», от 8 июня 2007 года N 1243-КЗ «О Реестре муниципальных должностей и Реестре 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лжностей муниципальной службы в Краснодарском крае», от 3 мая 2012 года N 2490-КЗ «О типовых квалификационных требованиях для замещения должностей муниципальной службы в Краснодарском крае», положением о муниципальной службе в администрации муниципального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образования Ленинградский район, в должностные инструкции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сотрудников 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включены положения, способствующие своевременному предотвращению, выявлению и урегулирования конфликта интересов и направленные на противодействие коррупции.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сельских поселениях отклонений от установленных норм, определяемых должностными инструкциями муниципальных служащих, замещающих должности муниципальной службы, подве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рженные риску коррупционных проявлений, не зафиксировано; факторов, способствующих ненадлежащему исполнению либо превышению должностных обязанностей, не выявлено; необходимость внесения изменений в должностные инструкции муниципальных служащих отсутствует.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87"/>
        <w:ind w:left="0" w:right="0" w:firstLine="8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Муниципальными служащими и всеми лицами, претендующими на замещение 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лжностей муниципальной службы или замещающими должности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используется специальное программное обеспечени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«Справки БК».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Отделом кадров и муниципальной службы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администрации проводилась консультативная помощь муниципальным служащим администрации, лицам замещающим должност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муниципальной службы и специалистам по общим вопросам сельских поселений Ленинградского района по вопросу заполнения сведений о доходах, имуществе и обязательствах имущественного характера с использованием специальное программное обеспечения «Справки БК»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tabs>
          <w:tab w:val="left" w:pos="226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отчетный период, с использованием специального программного обеспечения «Справки БК» муниципальными служащими администрации муниципального образования Ленинградский район было представлено и проанализировано 94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характера, от лиц, претендующих на замещение должностей или замещающими должности, осуществление полномочий по кот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850"/>
        <w:jc w:val="both"/>
        <w:spacing w:after="0" w:line="240" w:lineRule="auto"/>
        <w:tabs>
          <w:tab w:val="left" w:pos="226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отчетный период, с использованием специального программного обеспечения «Справки БК» муниципальными служащими сельских поселений Ленинградского района было представлено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характера, от лиц, претендующих на замещение должностей или замещающими должности, осуществление полномочий по кото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850"/>
        <w:jc w:val="both"/>
        <w:spacing w:after="0" w:line="240" w:lineRule="auto"/>
        <w:tabs>
          <w:tab w:val="left" w:pos="226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отчетный период было представлено и проанализировано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руководителей муниципальных учреждений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850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муниципальных служащих, впервые поступивших на муниципальную службу, по образовательным программам в области противодействия коррупции за счет средств местного бюджета и краевого бюджета в отчетном периоде не проводилось.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служащих сельских поселений Ленинградского района впервые поступивших на муниципальную службу, по образовательным программам в области противодействия коррупции за счет средств местных бюджетов и краевого бюджета в отчетном периоде не проводилось.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муниципальных служащих, в области противодействия коррупции для муниципальных служащих, в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 за счет средств местного</w:t>
      </w:r>
      <w:r>
        <w:rPr>
          <w:rFonts w:ascii="Times New Roman" w:hAnsi="Times New Roman" w:cs="Times New Roman"/>
          <w:sz w:val="28"/>
          <w:szCs w:val="28"/>
        </w:rPr>
        <w:t xml:space="preserve"> и краевого </w:t>
      </w:r>
      <w:r>
        <w:rPr>
          <w:rFonts w:ascii="Times New Roman" w:hAnsi="Times New Roman" w:cs="Times New Roman"/>
          <w:sz w:val="28"/>
          <w:szCs w:val="28"/>
        </w:rPr>
        <w:t xml:space="preserve"> бюджета в отчетном периоде не проводилось.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муниципальных служащих сельских поселений Ленинградского района в области противодействия коррупции для муниципальных служащих, в должностн</w:t>
      </w:r>
      <w:r>
        <w:rPr>
          <w:rFonts w:ascii="Times New Roman" w:hAnsi="Times New Roman" w:cs="Times New Roman"/>
          <w:sz w:val="28"/>
          <w:szCs w:val="28"/>
        </w:rPr>
        <w:t xml:space="preserve">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 в отчетном период не проводилось.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tabs>
          <w:tab w:val="left" w:pos="2260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соответствии с Законом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30.12.2013 № 2875-КЗ "О порядке проверки достоверности и полноты сведений, представляемых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обязанностей"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достоверности и полноты сведений о доходах, об имуществе и обязательствах имущественного характера, представленных муниципальными служащими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отчетном периоде не проводились.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tabs>
          <w:tab w:val="left" w:pos="2260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униципальны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служащи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отношении которых установлены факты представления недостоверных и (или) неполных сведений о доходах, об имуществе и обязательствах имущественного характера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отчетном периоде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tabs>
          <w:tab w:val="left" w:pos="2260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униципальных служащих, привлеченных к дисциплинарной ответственности по результатам проведенных проверок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tabs>
          <w:tab w:val="left" w:pos="226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униципальных служащих, уволенных в связи с утратой доверия по результатам проведенных проверок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отчетном периоде отсутствуют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каких-</w:t>
      </w:r>
      <w:r>
        <w:rPr>
          <w:rFonts w:ascii="Times New Roman" w:hAnsi="Times New Roman" w:cs="Times New Roman"/>
          <w:sz w:val="28"/>
          <w:szCs w:val="28"/>
        </w:rPr>
        <w:t xml:space="preserve">либо уведомлений от муниципальных служащих администрации муниципального образования Ленинградский и муниципальных служащих сельских поселений Ленинградского района о фактах обращения в целях склонения к совершению коррупционных правонарушений не поступало.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осуществления конт</w:t>
      </w:r>
      <w:r>
        <w:rPr>
          <w:rFonts w:ascii="Times New Roman" w:hAnsi="Times New Roman" w:cs="Times New Roman"/>
          <w:sz w:val="28"/>
          <w:szCs w:val="28"/>
        </w:rPr>
        <w:t xml:space="preserve">роля за испол</w:t>
      </w:r>
      <w:r>
        <w:rPr>
          <w:rFonts w:ascii="Times New Roman" w:hAnsi="Times New Roman" w:cs="Times New Roman"/>
          <w:sz w:val="28"/>
          <w:szCs w:val="28"/>
        </w:rPr>
        <w:t xml:space="preserve">нением муниципальными служащими обязанности по предварительному уведомлению представителя нанимателя о выполнении иной оплачиваемой работы установлено, что за отчетный период главе муниципального образования Ленинградский район (работодателю) поступило 46 </w:t>
      </w:r>
      <w:r>
        <w:rPr>
          <w:rFonts w:ascii="Times New Roman" w:hAnsi="Times New Roman" w:cs="Times New Roman"/>
          <w:sz w:val="28"/>
          <w:szCs w:val="28"/>
        </w:rPr>
        <w:t xml:space="preserve">таких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главам сельских поселений Ленинградского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уведомлений от сотрудников не поступало.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урнал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уведомлений представителя нанимателя (работодателя) о выполнении муниципальными служащими иной оплачиваемой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ведутся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</w:t>
      </w:r>
      <w:r>
        <w:rPr>
          <w:rFonts w:ascii="Times New Roman" w:hAnsi="Times New Roman" w:cs="Times New Roman"/>
          <w:sz w:val="28"/>
          <w:szCs w:val="28"/>
        </w:rPr>
        <w:t xml:space="preserve">е служащие</w:t>
      </w:r>
      <w:r>
        <w:rPr>
          <w:rFonts w:ascii="Times New Roman" w:hAnsi="Times New Roman" w:cs="Times New Roman"/>
          <w:sz w:val="28"/>
          <w:szCs w:val="28"/>
        </w:rPr>
        <w:t xml:space="preserve">, которые не уведомили или несвоевременно увед</w:t>
      </w:r>
      <w:r>
        <w:rPr>
          <w:rFonts w:ascii="Times New Roman" w:hAnsi="Times New Roman" w:cs="Times New Roman"/>
          <w:sz w:val="28"/>
          <w:szCs w:val="28"/>
        </w:rPr>
        <w:t xml:space="preserve">омили представителя нанимателя </w:t>
      </w: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отсутствуют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образования 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 от 25 апреля 2014 года №23 «Об утверждении Положения о сообщении лицами, замещающими муниципальные должности, муниципальными служащими администрации муниципального образования Ленинградский район о получении подарка в связи с их должностным положени</w:t>
      </w:r>
      <w:r>
        <w:rPr>
          <w:rFonts w:ascii="Times New Roman" w:hAnsi="Times New Roman" w:cs="Times New Roman"/>
          <w:sz w:val="28"/>
          <w:szCs w:val="28"/>
        </w:rPr>
        <w:t xml:space="preserve">ем или исполнением ими должностных обязанностей, сдаче и оценке подарка, реализации (выкупе) и зачислении средств, вырученных от его реализации» (с изменениями от 29.03.2016г. №24) предусмотрено сообщение лицами, замещающими муниципальные должности,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пальными служащими администрации муниципального образования Ленинградский район о получении подарка в связи с их должностным положением или исполнением ими должностных обязанностей. 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мониторинга исполнения установленного Порядка сообщения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иципальными служащими о получении подарка в связи с их должностным положением или должностных обязанностей, за отчетный период случаев получения муниципальными служащими подарков в связи с их должностным положением или должностных обязанностей не выявлено.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уведомлений о получении подарка в связи с должностным положением или исполнением должностных обязанностей, от лиц, замещающих муниципальные должности, муниципальные служащие администраций сельских поселений Ленинградского района, не поступало.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исполнения муниципальными служащими обязанности передавать принадлежащие им ценные бумаги (доли участия, паи в уставных (складочных) капиталах организаций) в доверительное управление в целях предотвращения или урегулирования конфликта </w:t>
      </w:r>
      <w:r>
        <w:rPr>
          <w:rFonts w:ascii="Times New Roman" w:hAnsi="Times New Roman" w:cs="Times New Roman"/>
          <w:sz w:val="28"/>
          <w:szCs w:val="28"/>
        </w:rPr>
        <w:t xml:space="preserve">интересов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сведений, содержащихся в личных делах муниципальных служащих, специализированных базах данных, "открытых источниках",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проводился</w:t>
      </w:r>
      <w:r>
        <w:rPr>
          <w:rFonts w:ascii="Times New Roman" w:hAnsi="Times New Roman" w:cs="Times New Roman"/>
          <w:sz w:val="28"/>
          <w:szCs w:val="28"/>
        </w:rPr>
        <w:t xml:space="preserve"> нарушений не выявлено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tabs>
          <w:tab w:val="left" w:pos="226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Мониторинг соблюдения порядка участия лиц, замещающих должности муниципальной службы, в управлении коммерческими и некоммерческими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в 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проводился</w:t>
      </w:r>
      <w:r>
        <w:rPr>
          <w:rFonts w:ascii="Times New Roman" w:hAnsi="Times New Roman" w:cs="Times New Roman"/>
          <w:sz w:val="28"/>
          <w:szCs w:val="28"/>
        </w:rPr>
        <w:t xml:space="preserve">, нарушений не выявлено.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на аппаратных совещаниях,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ьным служащим администрации муниципального образования Ленинградский район доводилась информация о требованиях законодательства Российской Федерации о противодействии коррупции и об ответственности за совершение коррупционных правонарушений и преступлений.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района (сельских поселениях) проводятся аппаратные совещания, разъяснительная р</w:t>
      </w:r>
      <w:r>
        <w:rPr>
          <w:rFonts w:ascii="Times New Roman" w:hAnsi="Times New Roman" w:cs="Times New Roman"/>
          <w:sz w:val="28"/>
          <w:szCs w:val="28"/>
        </w:rPr>
        <w:t xml:space="preserve">абота с муниципальными служащими о фактах обращений в целях склонения их к совершению коррупционных правонарушений,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планерных совещаниях с муниципальными служащими администрации юридическим отделом проводится обзор законодательства о противодействии коррупции и его изменениях.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</w:t>
      </w:r>
      <w:r>
        <w:rPr>
          <w:rFonts w:ascii="Times New Roman" w:hAnsi="Times New Roman" w:cs="Times New Roman"/>
          <w:sz w:val="28"/>
          <w:szCs w:val="28"/>
        </w:rPr>
        <w:t xml:space="preserve">лях разъяснительных и иных мер по соблюдению муниципальными служащими ограничений, запретов и по исполнению обязанностей, установленных в целях противодействия коррупции, лица поступающие на муниципальную службу ознакомляются под роспись с ограничениями и </w:t>
      </w:r>
      <w:r>
        <w:rPr>
          <w:rFonts w:ascii="Times New Roman" w:hAnsi="Times New Roman" w:cs="Times New Roman"/>
          <w:sz w:val="28"/>
          <w:szCs w:val="28"/>
        </w:rPr>
        <w:t xml:space="preserve">запретами установленными законодательством РФ, Краснодарского края о муниципальной службе, расписка приобщается к личному делу муниципального служащего.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официальных сайтах муниципальных образований размещается информация о пр</w:t>
      </w:r>
      <w:r>
        <w:rPr>
          <w:rFonts w:ascii="Times New Roman" w:hAnsi="Times New Roman" w:cs="Times New Roman"/>
          <w:sz w:val="28"/>
          <w:szCs w:val="28"/>
        </w:rPr>
        <w:t xml:space="preserve">отиводействии коррупции (памятки для муниципальных служащих по вопросам противодействия коррупции; методические рекомендации по разработке и принятию организациями мер по предупреждению и противодействию коррупции; обзор рекомендаций по осуществлению компл</w:t>
      </w:r>
      <w:r>
        <w:rPr>
          <w:rFonts w:ascii="Times New Roman" w:hAnsi="Times New Roman" w:cs="Times New Roman"/>
          <w:sz w:val="28"/>
          <w:szCs w:val="28"/>
        </w:rPr>
        <w:t xml:space="preserve">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и др</w:t>
      </w:r>
      <w:r>
        <w:rPr>
          <w:rFonts w:ascii="Times New Roman" w:hAnsi="Times New Roman" w:cs="Times New Roman"/>
          <w:sz w:val="28"/>
          <w:szCs w:val="28"/>
        </w:rPr>
        <w:t xml:space="preserve">угое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методической работы: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гитационно-массовы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(плакат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памятки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размещены во всех помещениях, занимаемых органами местного самоуправления муниципального образования Ленинградский район и муниципальными учреждениями.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официальном сайте администрации муниципального образования Ленинградский район размещены: информация о коррупции, памятки о мерах ответственности за дачу и получение взятки и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ействиях в случае вымогательства или провокации взятки, Информационно-разъяснительные материалы Генеральной прокуратуры Российской Федерации, памятки «Что нужно знать о коррупции». Данные памятки также размещены в местах предоставления муниципальных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Соответствующая информация также размещена на официальных сайтах администраций сельских поселений Ленинградского района.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Ленинградский район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57</w:t>
      </w:r>
      <w:r>
        <w:rPr>
          <w:rFonts w:ascii="Times New Roman" w:hAnsi="Times New Roman" w:cs="Times New Roman"/>
          <w:sz w:val="28"/>
          <w:szCs w:val="28"/>
        </w:rPr>
        <w:t xml:space="preserve"> проектов муниципальных нормативных правовых актов проведена антикоррупционная экспертиза</w:t>
      </w:r>
      <w:r>
        <w:rPr>
          <w:rFonts w:ascii="Times New Roman" w:hAnsi="Times New Roman" w:cs="Times New Roman"/>
          <w:sz w:val="28"/>
          <w:szCs w:val="28"/>
        </w:rPr>
        <w:t xml:space="preserve">. Подготовлено 57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заключения.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Заключений, подготовленных аккредитованными в установленном порядке независимыми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Сельскими поселениями муниципального образования Ленинградский район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242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проведена антикоррупционная экспертиза, в том числе получено </w:t>
      </w:r>
      <w:r>
        <w:rPr>
          <w:rFonts w:ascii="Times New Roman" w:hAnsi="Times New Roman" w:cs="Times New Roman"/>
          <w:sz w:val="28"/>
          <w:szCs w:val="28"/>
        </w:rPr>
        <w:t xml:space="preserve">142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заключений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Отрицательных </w:t>
      </w:r>
      <w:r>
        <w:rPr>
          <w:rFonts w:ascii="Times New Roman" w:hAnsi="Times New Roman" w:cs="Times New Roman"/>
          <w:sz w:val="28"/>
          <w:szCs w:val="28"/>
        </w:rPr>
        <w:t xml:space="preserve"> заключений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Заключений, подготовленных аккредитованными в установленном порядке независимыми экспертами в отчетном периоде не было.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Ленинградский район от 08.12.2023 года №1422</w:t>
      </w:r>
      <w:r>
        <w:rPr>
          <w:rFonts w:ascii="Times New Roman" w:hAnsi="Times New Roman" w:cs="Times New Roman"/>
          <w:sz w:val="28"/>
          <w:szCs w:val="28"/>
        </w:rPr>
        <w:t xml:space="preserve"> утвержд</w:t>
      </w:r>
      <w:r>
        <w:rPr>
          <w:rFonts w:ascii="Times New Roman" w:hAnsi="Times New Roman" w:cs="Times New Roman"/>
          <w:sz w:val="28"/>
          <w:szCs w:val="28"/>
        </w:rPr>
        <w:t xml:space="preserve">ен</w:t>
      </w:r>
      <w:r>
        <w:rPr>
          <w:rFonts w:ascii="Times New Roman" w:hAnsi="Times New Roman" w:cs="Times New Roman"/>
          <w:sz w:val="28"/>
          <w:szCs w:val="28"/>
        </w:rPr>
        <w:t xml:space="preserve"> план проведения мониторинга правоприменения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Вышеуказанное постановление размещено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</w:t>
      </w:r>
      <w:r>
        <w:rPr>
          <w:rFonts w:ascii="Times New Roman" w:hAnsi="Times New Roman" w:cs="Times New Roman"/>
          <w:sz w:val="28"/>
          <w:szCs w:val="28"/>
        </w:rPr>
        <w:t xml:space="preserve">в разделе «Противодействие коррупции»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устранения нарушений, выявленных при мониторинге правоприменения 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850"/>
        <w:jc w:val="both"/>
        <w:spacing w:after="0" w:line="240" w:lineRule="auto"/>
        <w:tabs>
          <w:tab w:val="left" w:pos="226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сельских поселениях в рамках мониторинга правоприменения внесены изменения в 12 правовых актов.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Ленинградский район размеща</w:t>
      </w:r>
      <w:r>
        <w:rPr>
          <w:rFonts w:ascii="Times New Roman" w:hAnsi="Times New Roman" w:cs="Times New Roman"/>
          <w:sz w:val="28"/>
          <w:szCs w:val="28"/>
        </w:rPr>
        <w:t xml:space="preserve">ется информация о результатах сделок по приватизации муниципального имущества на Единой электронной торговой площадке (АО «ЕЭТП»), по адресу в сети «Интернет» с характеристикой объектов муниципального имущества. Перечень имущества, подлежащего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отсутствует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муниципального имущества в аренду проводится в соответствии с Федеральным законом от 26 июля 2006 г. № 135-ФЗ «О защите конкуренции».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Нормативно-правовые акты в отношении распоряжения муниципальным имуществом, направляются для проведения антикоррупционной экспертизы в прокуратуру Ленинградского 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Из 8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 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локальны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по вопросам профилактики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разработаны в 5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муниципальных учреждениях. Отсутствуют локальные акты в малочисленных учреждениях и вновь созданных.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3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человека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должности 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85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учреждений, предста</w:t>
      </w:r>
      <w:r>
        <w:rPr>
          <w:rFonts w:ascii="Times New Roman" w:hAnsi="Times New Roman" w:cs="Times New Roman"/>
          <w:sz w:val="28"/>
          <w:szCs w:val="28"/>
        </w:rPr>
        <w:t xml:space="preserve">вили</w:t>
      </w:r>
      <w:r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>
        <w:rPr>
          <w:rFonts w:ascii="Times New Roman" w:hAnsi="Times New Roman" w:cs="Times New Roman"/>
          <w:sz w:val="28"/>
          <w:szCs w:val="28"/>
        </w:rPr>
        <w:t xml:space="preserve">ственного характера;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8"/>
        <w:ind w:left="0" w:right="0" w:firstLine="850"/>
        <w:jc w:val="both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было проанализировано 85 с</w:t>
      </w:r>
      <w:r>
        <w:rPr>
          <w:rFonts w:ascii="Times New Roman" w:hAnsi="Times New Roman" w:cs="Times New Roman"/>
          <w:sz w:val="28"/>
          <w:szCs w:val="28"/>
        </w:rPr>
        <w:t xml:space="preserve">ведений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размещаются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а также сайтах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Ленинградский район граждане имеют возможность беспрепятственно сообщать в органы местного самоуправления об имевших место антикоррупционных проявлениях </w:t>
      </w:r>
      <w:r>
        <w:rPr>
          <w:rFonts w:ascii="Times New Roman" w:hAnsi="Times New Roman" w:cs="Times New Roman"/>
          <w:sz w:val="28"/>
          <w:szCs w:val="28"/>
        </w:rPr>
        <w:t xml:space="preserve">посредством: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в приемную главы муниципального образования Ленинградский район;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направления писем (в т.ч. электронных);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обращений в администрацию муниципального образования Ленинградский район через «виртуальную приемную» на сайте администрации муниципального образования Ленинградский район;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обращений по телефону «горячей линии» с главой (каждый первый четверг месяца с 1700 до 1800),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tabs>
          <w:tab w:val="left" w:pos="2260" w:leader="none"/>
        </w:tabs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(жалоб) граждан на коррупционное поведение со стороны должностных лиц администрации муниципального образования Ленинградский район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Ленинградский район размещены: информация о коррупции, памятки о мерах ответственности за дачу и получение взятки и д</w:t>
      </w:r>
      <w:r>
        <w:rPr>
          <w:rFonts w:ascii="Times New Roman" w:hAnsi="Times New Roman" w:cs="Times New Roman"/>
          <w:sz w:val="28"/>
          <w:szCs w:val="28"/>
        </w:rPr>
        <w:t xml:space="preserve">ействиях в случае вымогательства или провокации взятки, Информационно-разъяснительные материалы Генеральной прокуратуры Российской Федерации, памятки «Что нужно знать о коррупции». Данные памятки также размещены в местах предоставления муниципальных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Соответствующая информация также размещена на официальных сайтах администраций сельских поселений Ленинградского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</w:t>
      </w:r>
      <w:r>
        <w:rPr>
          <w:rFonts w:ascii="Times New Roman" w:hAnsi="Times New Roman" w:cs="Times New Roman"/>
          <w:sz w:val="28"/>
          <w:szCs w:val="28"/>
        </w:rPr>
        <w:t xml:space="preserve">ганах местного самоуправления муниципального образования Ленинградский район: планы, программные мероприятия социально - экономического и инфраструктурного развития территории муниципального образования проходят процедуру обнародования, публикуются в СМИ,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муниципального образования Ленинградский район, обсуждаются во время проведения публичных мероприятий - совещаниях, сходах граждан, в ходе встреч главы муниципального образования, глав сельских поселений с жителями района,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 общественных объединений и организаций.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ежеквартально проводятся заседания Совета по противодействию коррупции в сферах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органов местного самоуправления муниципального образования Ленинградский район (далее - Совет), в состав которого входят главы сельских поселений, представители районной СМИ, общественной организации и начальником ОМВД России по Ленинградскому району.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заседаний Совета опубликованы на официальном сайте администрации муниципального образования Ленинградский район (adminlenkub.ru) в разделе «Антикоррупция», подраздел «Совет по противодействию коррупции».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ind w:left="0" w:right="0" w:firstLine="85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0" w:right="0" w:firstLine="850"/>
        <w:jc w:val="both"/>
        <w:spacing w:before="0" w:beforeAutospacing="0" w:after="0" w:afterAutospacing="0"/>
        <w:widowControl w:val="off"/>
        <w:tabs>
          <w:tab w:val="left" w:pos="6195" w:leader="none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Решили: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874"/>
        <w:ind w:left="0" w:right="0" w:firstLine="850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Информацию докладчиков принять к сведению.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Совета по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сферах деятельности органов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В.Н.Шерстобитов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          Д.Л.Головатский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6" w:bottom="1135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89063410"/>
      <w:docPartObj>
        <w:docPartGallery w:val="Page Numbers (Top of Page)"/>
        <w:docPartUnique w:val="true"/>
      </w:docPartObj>
      <w:rPr/>
    </w:sdtPr>
    <w:sdtContent>
      <w:p>
        <w:pPr>
          <w:pStyle w:val="88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)"/>
      <w:legacy w:legacy="1" w:legacyIndent="307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1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3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5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7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9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1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3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5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74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68"/>
    <w:link w:val="866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868"/>
    <w:link w:val="867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5"/>
    <w:next w:val="865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8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8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8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8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8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5"/>
    <w:next w:val="865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5"/>
    <w:next w:val="865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8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5"/>
    <w:next w:val="865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8"/>
    <w:link w:val="711"/>
    <w:uiPriority w:val="10"/>
    <w:rPr>
      <w:sz w:val="48"/>
      <w:szCs w:val="48"/>
    </w:rPr>
  </w:style>
  <w:style w:type="paragraph" w:styleId="713">
    <w:name w:val="Subtitle"/>
    <w:basedOn w:val="865"/>
    <w:next w:val="865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8"/>
    <w:link w:val="713"/>
    <w:uiPriority w:val="11"/>
    <w:rPr>
      <w:sz w:val="24"/>
      <w:szCs w:val="24"/>
    </w:rPr>
  </w:style>
  <w:style w:type="paragraph" w:styleId="715">
    <w:name w:val="Quote"/>
    <w:basedOn w:val="865"/>
    <w:next w:val="865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5"/>
    <w:next w:val="865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8"/>
    <w:link w:val="881"/>
    <w:uiPriority w:val="99"/>
  </w:style>
  <w:style w:type="character" w:styleId="720">
    <w:name w:val="Footer Char"/>
    <w:basedOn w:val="868"/>
    <w:link w:val="883"/>
    <w:uiPriority w:val="99"/>
  </w:style>
  <w:style w:type="paragraph" w:styleId="721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83"/>
    <w:uiPriority w:val="99"/>
  </w:style>
  <w:style w:type="table" w:styleId="723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8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8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</w:style>
  <w:style w:type="paragraph" w:styleId="866">
    <w:name w:val="Heading 1"/>
    <w:basedOn w:val="865"/>
    <w:next w:val="865"/>
    <w:link w:val="879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67">
    <w:name w:val="Heading 2"/>
    <w:basedOn w:val="865"/>
    <w:link w:val="873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table" w:styleId="871">
    <w:name w:val="Table Grid"/>
    <w:basedOn w:val="86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2">
    <w:name w:val="List Paragraph"/>
    <w:basedOn w:val="865"/>
    <w:uiPriority w:val="34"/>
    <w:qFormat/>
    <w:pPr>
      <w:contextualSpacing/>
      <w:ind w:left="720"/>
    </w:pPr>
  </w:style>
  <w:style w:type="character" w:styleId="873" w:customStyle="1">
    <w:name w:val="Заголовок 2 Знак"/>
    <w:basedOn w:val="868"/>
    <w:link w:val="867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74">
    <w:name w:val="Normal (Web)"/>
    <w:basedOn w:val="8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alloon Text"/>
    <w:basedOn w:val="865"/>
    <w:link w:val="8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868"/>
    <w:link w:val="875"/>
    <w:uiPriority w:val="99"/>
    <w:semiHidden/>
    <w:rPr>
      <w:rFonts w:ascii="Tahoma" w:hAnsi="Tahoma" w:cs="Tahoma"/>
      <w:sz w:val="16"/>
      <w:szCs w:val="16"/>
    </w:rPr>
  </w:style>
  <w:style w:type="character" w:styleId="877">
    <w:name w:val="Hyperlink"/>
    <w:basedOn w:val="868"/>
    <w:rPr>
      <w:color w:val="0000ff"/>
      <w:u w:val="single"/>
    </w:rPr>
  </w:style>
  <w:style w:type="paragraph" w:styleId="878" w:customStyle="1">
    <w:name w:val="Знак Знак Знак Знак Знак Знак Знак Знак Знак Знак"/>
    <w:basedOn w:val="865"/>
    <w:pPr>
      <w:jc w:val="right"/>
      <w:spacing w:after="160"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879" w:customStyle="1">
    <w:name w:val="Заголовок 1 Знак"/>
    <w:basedOn w:val="868"/>
    <w:link w:val="86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0" w:customStyle="1">
    <w:name w:val="ConsPlusTitle"/>
    <w:pPr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81">
    <w:name w:val="Header"/>
    <w:basedOn w:val="865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Верхний колонтитул Знак"/>
    <w:basedOn w:val="868"/>
    <w:link w:val="881"/>
    <w:uiPriority w:val="99"/>
  </w:style>
  <w:style w:type="paragraph" w:styleId="883">
    <w:name w:val="Footer"/>
    <w:basedOn w:val="865"/>
    <w:link w:val="8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4" w:customStyle="1">
    <w:name w:val="Нижний колонтитул Знак"/>
    <w:basedOn w:val="868"/>
    <w:link w:val="883"/>
    <w:uiPriority w:val="99"/>
  </w:style>
  <w:style w:type="character" w:styleId="885" w:customStyle="1">
    <w:name w:val="Гипертекстовая ссылка"/>
    <w:basedOn w:val="868"/>
    <w:uiPriority w:val="99"/>
    <w:rPr>
      <w:b/>
      <w:bCs/>
      <w:color w:val="106bbe"/>
    </w:rPr>
  </w:style>
  <w:style w:type="paragraph" w:styleId="886" w:customStyle="1">
    <w:name w:val="Нормальный (таблица)"/>
    <w:basedOn w:val="865"/>
    <w:next w:val="865"/>
    <w:uiPriority w:val="99"/>
    <w:pPr>
      <w:jc w:val="both"/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887" w:customStyle="1">
    <w:name w:val="Прижатый влево"/>
    <w:basedOn w:val="865"/>
    <w:next w:val="865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88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adminlenkub.ru/region/stopkor/analiz.php" TargetMode="External"/><Relationship Id="rId11" Type="http://schemas.openxmlformats.org/officeDocument/2006/relationships/hyperlink" Target="http://adminlenkub.ru/region/stopkor/analiz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38</cp:revision>
  <dcterms:created xsi:type="dcterms:W3CDTF">2021-03-26T13:58:00Z</dcterms:created>
  <dcterms:modified xsi:type="dcterms:W3CDTF">2024-07-29T08:14:38Z</dcterms:modified>
</cp:coreProperties>
</file>