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к годовому отчету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муниципальных практиках содействия развитию конкуренции,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внедренных в муниципальном образовании в 2024 году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  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   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Практика № 1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pStyle w:val="84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ind w:left="357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>
        <w:tblPrEx/>
        <w:trPr>
          <w:jc w:val="center"/>
          <w:trHeight w:val="103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Наименование лучшей практики по содействию развитию конкуренции в субъектах Российской Федерации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bidi="ru-RU"/>
              </w:rPr>
              <w:t xml:space="preserve">Формирование предпосылок инженерного мышления у дошкольников с ОВЗ посредством включения в деятельность технопарка в детском саду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282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Заверза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Елена Викторовна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ачальник отдела экономики, прогнозирования и инвестиций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дминистраци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eastAsia="FreeSerif"/>
                <w:i/>
                <w:iCs/>
                <w:sz w:val="24"/>
                <w:szCs w:val="24"/>
              </w:rPr>
              <w:t xml:space="preserve">(86145) 7-23-76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hyperlink r:id="rId9" w:tooltip="mailto:ekonomlen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ekonomlen@mail.ru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Сухорукова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Инна Игоревна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заведующий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№ 34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7-18-35; 7-18-77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</w:t>
            </w:r>
            <w:hyperlink r:id="rId10" w:tooltip="mailto:rechetcvetik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rechetcvetik@mail.ru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Грицай Инна Александровна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ДСКВ № 34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старший воспитатель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7-18-35; 7-18-77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</w:t>
            </w:r>
            <w:hyperlink r:id="rId11" w:tooltip="mailto:rechetcvetik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rechetcvetik@mail.ru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Дорошенко Наталия Викторовна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инструктор по физической культуре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№ 34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7-18-35; 7-18-77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</w:t>
            </w:r>
            <w:hyperlink r:id="rId12" w:tooltip="mailto:rechetcvetik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rechetcvetik@mail.ru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395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Краткое описание успешной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Реализации практики происходит в технопарке детского сада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Техноцветик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» — это площадки детского сада, оснащенные технологичным оборудованием, нацеленные на формирование предпосылок инженерного мышления, внедрение инновационных технологий и идей.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Его миссия: содействовать формированию предпосылок инженерного мышления, ускоренному техническому развитию детей, внедряя эффективные модели образования.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Технопарк представляет собой единое пространство, состоящее из тематических (по направлениям деятельности) структурных единиц — лабораторий. Такое размещение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 допускает одновременную работу нескольких детских подгрупп, а также позволяет детям свободно передвигаться и сменять виды деятельности. Объединяющей идеей и действом для взрослых и детей становится образовательная деятельность в технопарке детского сада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Техноцветик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».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738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Финансовые ресурсы: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а) приобретена офисная техника (цветные МФУ, документ-камера) на сумму 40 000 руб.;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приобретено оборудование и различные материалы для продуктивных видов деятельности в рамках дооснащения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техносреды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сумму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100 000 руб.;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в) приобретена методическая литература, дидактические пособия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сумму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000руб.;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г) профинансированы редакционно-издательские услуги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сумму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10 000 руб.;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д) профинансировано обучение педагогов на курсах повышения квалификации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сумму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30 000 руб.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 xml:space="preserve">Нематериальные ресурсы: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</w:r>
          </w:p>
          <w:p>
            <w:pPr>
              <w:ind w:firstLine="567"/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В МБДОУ детский сад компенсирующего вида № 34 созданы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кадровые и образовательные условия для</w:t>
            </w:r>
            <w:r>
              <w:rPr>
                <w:rFonts w:ascii="Times New Roman" w:hAnsi="Times New Roman" w:eastAsia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реализации инновационного</w:t>
            </w:r>
            <w:r>
              <w:rPr>
                <w:rFonts w:ascii="Times New Roman" w:hAnsi="Times New Roman" w:eastAsia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проекта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Педагогический персонал: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а) с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таршая медицинская сестра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в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оспитатель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в) и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нструктор по физической культуре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г) у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читель-логопед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д) у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читель-дефектолог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е) п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едагог-психолог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567"/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а) в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ысшее педагогическое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с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реднее специальное педагогическое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в) с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реднее профессиональное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25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Описание 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 условиях невысокого интереса молодежи и общества в целом к инженерным профессиям разработана, методически обеспечена и реализована практико-ориен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тированная модель ранней профориентации воспитанников с ОВЗ в ДОО на инженерные профессии настоящего и будущего в форме технопарка детского сада, позволяющая через систему интегрированного взаимодействия лабораторий, способствующих формированию инновационн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ого пространства, развивать основы технологического образования (технологической компетентности), которая даст возможность реализовать психолого-педагогические, кадровые и материально-технические условия, обеспечивающие функционирование предметной игровой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техносреде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 в детском саду, адекватную возрастным особенностям и современным требованиям к политехнической подготовке.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85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На сегодняшний день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 105 воспитанников прошли технопарк. Многие продолжают деятельность, начатую в технопарке детского сада в учреждениях дополнительного образования, снимают самостоятельно мини-мультфильмы, размещают в сети интернет, посещают уроки в инженерных классах школ.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</w:tbl>
    <w:p>
      <w:pPr>
        <w:ind w:left="357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№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>
        <w:tblPrEx/>
        <w:trPr>
          <w:jc w:val="center"/>
          <w:trHeight w:val="11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Наименование лучшей практики по содействию развитию конкуренции в субъектах Российской Федерации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Формирование культурных потребностей у дошкольника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306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Заверза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Елена Викторовна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ачальник отдела экономики, прогнозирования и инвестиций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дминистраци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eastAsia="FreeSerif"/>
                <w:i/>
                <w:iCs/>
                <w:sz w:val="24"/>
                <w:szCs w:val="24"/>
              </w:rPr>
              <w:t xml:space="preserve">(86145) 7-23-76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hyperlink r:id="rId13" w:tooltip="mailto:ekonomlen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ekonomlen@mail.ru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Глянц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Элина Яковлевна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реподаватель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ДМШ ст. Ленинградской Краснодарского края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Масич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Любовь Григорьевна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заведующий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№ 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Азлецкая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Елена Николаевна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Иващенко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Елена Геннадиевна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старший воспитатель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МДОУ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детский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сад общеразвивающего вида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№8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171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Краткое описание успешной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В рамках практики реализуется комплекс мероприятий, включающий в себя знакомство с разнообразными видами культуры, вариативные способы обмена впечатлениями и фо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рмирования мнения по поводу культурных событий у детей 5-7 лет. В результате происходит формирование культурных потребностей дошкольников на основе его собственных интересов. Практика реализуется на базе МБДОУ № 8 станицы Ленинградской Краснодарского края.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70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Финансовые ресурсы: стоимость реализации до 500 тыс. руб.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468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Описание 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Совместно с учреждениями культуры для детей организуются культурные походы. Родители вместе с детьми посещают кинотеатры, театры, музеи, бывают в исторических и культурно значимых местах, ходят в гости.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Одна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ко родители не всегда целенаправленно рассказывают ребенку о месте, которое они посещали. Их редко интересует насколько культурный выход носит событийный характер для ребенка, как увиденное и услышанное повлияло на общий и культурный уровень его развития.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Поэтому в культпоходе миссия учреждени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й культуры — учесть особенности возраста юных посетителей, удовлетворить их запрос, повысить общий уровень знаний дошкольников о культурном богатстве страны, края, станицы, развить художественно-эстетический вкус путем знакомства с произведениями культуры.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3817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Главный результат: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5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43 воспитанника детского сада стали читателями филиала передвижной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межпоселенческой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библиотеки;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5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16 дошкольников стали посещать танцевальный кружок "Золотой колосок";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Дополнительные результаты: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6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6 воспитанников детского сада стали обучаться в детской музыкальной школе;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6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10 ребят посещают кружок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изодеятельности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"Белкин хвост" на базе центра народной культуры "Казачье подворье";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6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4 ребенка стали посещать детскую художественную школу.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</w:tbl>
    <w:p>
      <w:pPr>
        <w:ind w:left="357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sectPr>
      <w:footnotePr/>
      <w:endnotePr/>
      <w:type w:val="nextPage"/>
      <w:pgSz w:w="16838" w:h="11906" w:orient="landscape"/>
      <w:pgMar w:top="1134" w:right="1134" w:bottom="42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1"/>
    <w:next w:val="841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2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1"/>
    <w:next w:val="841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2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2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2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1"/>
    <w:next w:val="84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1"/>
    <w:next w:val="84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basedOn w:val="842"/>
    <w:link w:val="685"/>
    <w:uiPriority w:val="10"/>
    <w:rPr>
      <w:sz w:val="48"/>
      <w:szCs w:val="48"/>
    </w:rPr>
  </w:style>
  <w:style w:type="paragraph" w:styleId="687">
    <w:name w:val="Subtitle"/>
    <w:basedOn w:val="841"/>
    <w:next w:val="841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basedOn w:val="842"/>
    <w:link w:val="687"/>
    <w:uiPriority w:val="11"/>
    <w:rPr>
      <w:sz w:val="24"/>
      <w:szCs w:val="24"/>
    </w:rPr>
  </w:style>
  <w:style w:type="paragraph" w:styleId="689">
    <w:name w:val="Quote"/>
    <w:basedOn w:val="841"/>
    <w:next w:val="841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1"/>
    <w:next w:val="841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1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basedOn w:val="842"/>
    <w:link w:val="693"/>
    <w:uiPriority w:val="99"/>
  </w:style>
  <w:style w:type="paragraph" w:styleId="695">
    <w:name w:val="Footer"/>
    <w:basedOn w:val="841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basedOn w:val="842"/>
    <w:link w:val="695"/>
    <w:uiPriority w:val="99"/>
  </w:style>
  <w:style w:type="paragraph" w:styleId="697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2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2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</w:style>
  <w:style w:type="character" w:styleId="842" w:default="1">
    <w:name w:val="Default Paragraph Font"/>
    <w:uiPriority w:val="1"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table" w:styleId="845">
    <w:name w:val="Table Grid"/>
    <w:basedOn w:val="84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47">
    <w:name w:val="List Paragraph"/>
    <w:basedOn w:val="841"/>
    <w:uiPriority w:val="34"/>
    <w:qFormat/>
    <w:pPr>
      <w:contextualSpacing/>
      <w:ind w:left="720"/>
    </w:pPr>
  </w:style>
  <w:style w:type="paragraph" w:styleId="848">
    <w:name w:val="Balloon Text"/>
    <w:basedOn w:val="841"/>
    <w:link w:val="84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9" w:customStyle="1">
    <w:name w:val="Текст выноски Знак"/>
    <w:basedOn w:val="842"/>
    <w:link w:val="848"/>
    <w:uiPriority w:val="99"/>
    <w:semiHidden/>
    <w:rPr>
      <w:rFonts w:ascii="Segoe UI" w:hAnsi="Segoe UI" w:cs="Segoe UI"/>
      <w:sz w:val="18"/>
      <w:szCs w:val="18"/>
    </w:rPr>
  </w:style>
  <w:style w:type="character" w:styleId="850">
    <w:name w:val="Hyperlink"/>
    <w:basedOn w:val="842"/>
    <w:uiPriority w:val="99"/>
    <w:unhideWhenUsed/>
    <w:rPr>
      <w:color w:val="0000ff" w:themeColor="hyperlink"/>
      <w:u w:val="single"/>
    </w:rPr>
  </w:style>
  <w:style w:type="character" w:styleId="851">
    <w:name w:val="Unresolved Mention"/>
    <w:basedOn w:val="842"/>
    <w:uiPriority w:val="99"/>
    <w:semiHidden/>
    <w:unhideWhenUsed/>
    <w:rPr>
      <w:color w:val="605e5c"/>
      <w:shd w:val="clear" w:color="auto" w:fill="e1dfdd"/>
    </w:rPr>
  </w:style>
  <w:style w:type="paragraph" w:styleId="852">
    <w:name w:val="Normal (Web)"/>
    <w:basedOn w:val="841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ekonomlen@mail.ru" TargetMode="External"/><Relationship Id="rId10" Type="http://schemas.openxmlformats.org/officeDocument/2006/relationships/hyperlink" Target="mailto:rechetcvetik@mail.ru" TargetMode="External"/><Relationship Id="rId11" Type="http://schemas.openxmlformats.org/officeDocument/2006/relationships/hyperlink" Target="mailto:rechetcvetik@mail.ru" TargetMode="External"/><Relationship Id="rId12" Type="http://schemas.openxmlformats.org/officeDocument/2006/relationships/hyperlink" Target="mailto:rechetcvetik@mail.ru" TargetMode="External"/><Relationship Id="rId13" Type="http://schemas.openxmlformats.org/officeDocument/2006/relationships/hyperlink" Target="mailto:ekonomlen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revision>38</cp:revision>
  <dcterms:created xsi:type="dcterms:W3CDTF">2019-01-15T11:51:00Z</dcterms:created>
  <dcterms:modified xsi:type="dcterms:W3CDTF">2025-02-05T06:41:10Z</dcterms:modified>
</cp:coreProperties>
</file>