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charts/chart21.xml" ContentType="application/vnd.openxmlformats-officedocument.drawingml.chart+xml"/>
  <Override PartName="/word/charts/chart20.xml" ContentType="application/vnd.openxmlformats-officedocument.drawingml.chart+xml"/>
  <Override PartName="/word/charts/chart18.xml" ContentType="application/vnd.openxmlformats-officedocument.drawingml.chart+xml"/>
  <Override PartName="/word/charts/chart14.xml" ContentType="application/vnd.openxmlformats-officedocument.drawingml.chart+xml"/>
  <Override PartName="/word/charts/chart11.xml" ContentType="application/vnd.openxmlformats-officedocument.drawingml.chart+xml"/>
  <Override PartName="/word/charts/chart10.xml" ContentType="application/vnd.openxmlformats-officedocument.drawingml.chart+xml"/>
  <Override PartName="/word/charts/chart9.xml" ContentType="application/vnd.openxmlformats-officedocument.drawingml.chart+xml"/>
  <Override PartName="/word/charts/chart8.xml" ContentType="application/vnd.openxmlformats-officedocument.drawingml.chart+xml"/>
  <Override PartName="/word/charts/chart7.xml" ContentType="application/vnd.openxmlformats-officedocument.drawingml.chart+xml"/>
  <Override PartName="/word/charts/chart6.xml" ContentType="application/vnd.openxmlformats-officedocument.drawingml.chart+xml"/>
  <Override PartName="/word/charts/chart5.xml" ContentType="application/vnd.openxmlformats-officedocument.drawingml.chart+xml"/>
  <Override PartName="/word/charts/chart2.xml" ContentType="application/vnd.openxmlformats-officedocument.drawingml.chart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numbering.xml" ContentType="application/vnd.openxmlformats-officedocument.wordprocessingml.numbering+xml"/>
  <Override PartName="/word/charts/chart15.xml" ContentType="application/vnd.openxmlformats-officedocument.drawingml.chart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harts/chart16.xml" ContentType="application/vnd.openxmlformats-officedocument.drawingml.chart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harts/chart17.xml" ContentType="application/vnd.openxmlformats-officedocument.drawingml.chart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charts/chart4.xml" ContentType="application/vnd.openxmlformats-officedocument.drawingml.chart+xml"/>
  <Override PartName="/word/settings.xml" ContentType="application/vnd.openxmlformats-officedocument.wordprocessingml.settings+xml"/>
  <Override PartName="/word/charts/chart12.xml" ContentType="application/vnd.openxmlformats-officedocument.drawingml.chart+xml"/>
  <Override PartName="/word/charts/chart19.xml" ContentType="application/vnd.openxmlformats-officedocument.drawingml.chart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harts/chart13.xml" ContentType="application/vnd.openxmlformats-officedocument.drawingml.chart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/>
      <w:bookmarkStart w:id="0" w:name="_Hlk126067935"/>
      <w:r/>
      <w:bookmarkEnd w:id="0"/>
      <w:r>
        <w:rPr>
          <w:rFonts w:ascii="Times New Roman" w:hAnsi="Times New Roman"/>
          <w:b/>
          <w:sz w:val="28"/>
          <w:szCs w:val="28"/>
          <w:lang w:val="en-US"/>
        </w:rPr>
      </w: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</w:r>
      <w:r>
        <w:rPr>
          <w:rFonts w:ascii="Times New Roman" w:hAnsi="Times New Roman" w:cs="Times New Roman"/>
          <w:b/>
          <w:sz w:val="48"/>
          <w:szCs w:val="48"/>
        </w:rPr>
      </w:r>
      <w:r>
        <w:rPr>
          <w:rFonts w:ascii="Times New Roman" w:hAnsi="Times New Roman" w:cs="Times New Roman"/>
          <w:b/>
          <w:sz w:val="48"/>
          <w:szCs w:val="48"/>
        </w:rPr>
      </w:r>
    </w:p>
    <w:p>
      <w:pPr>
        <w:jc w:val="center"/>
        <w:spacing w:before="120" w:after="120"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ОТЧЕТ</w:t>
      </w:r>
      <w:r>
        <w:rPr>
          <w:rFonts w:ascii="Times New Roman" w:hAnsi="Times New Roman" w:cs="Times New Roman"/>
          <w:b/>
          <w:sz w:val="48"/>
          <w:szCs w:val="48"/>
        </w:rPr>
      </w:r>
      <w:r>
        <w:rPr>
          <w:rFonts w:ascii="Times New Roman" w:hAnsi="Times New Roman" w:cs="Times New Roman"/>
          <w:b/>
          <w:sz w:val="48"/>
          <w:szCs w:val="48"/>
        </w:rPr>
      </w:r>
    </w:p>
    <w:p>
      <w:pPr>
        <w:jc w:val="center"/>
        <w:spacing w:before="120" w:after="120"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«О состоянии и развитии конкуренции </w:t>
      </w:r>
      <w:r>
        <w:rPr>
          <w:rFonts w:ascii="Times New Roman" w:hAnsi="Times New Roman" w:cs="Times New Roman"/>
          <w:b/>
          <w:sz w:val="48"/>
          <w:szCs w:val="48"/>
        </w:rPr>
      </w:r>
      <w:r>
        <w:rPr>
          <w:rFonts w:ascii="Times New Roman" w:hAnsi="Times New Roman" w:cs="Times New Roman"/>
          <w:b/>
          <w:sz w:val="48"/>
          <w:szCs w:val="48"/>
        </w:rPr>
      </w:r>
    </w:p>
    <w:p>
      <w:pPr>
        <w:jc w:val="center"/>
        <w:spacing w:before="120" w:after="120" w:line="240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на товарных рынках администрации муниципального образования Ленинградский </w:t>
      </w:r>
      <w:r>
        <w:rPr>
          <w:rFonts w:ascii="Times New Roman" w:hAnsi="Times New Roman" w:cs="Times New Roman"/>
          <w:b/>
          <w:sz w:val="48"/>
          <w:szCs w:val="48"/>
        </w:rPr>
        <w:t xml:space="preserve">район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</w:r>
      <w:r>
        <w:rPr>
          <w:rFonts w:ascii="Times New Roman" w:hAnsi="Times New Roman" w:cs="Times New Roman"/>
          <w:sz w:val="48"/>
          <w:szCs w:val="48"/>
        </w:rPr>
      </w:r>
    </w:p>
    <w:p>
      <w:pPr>
        <w:jc w:val="center"/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в 2024 году»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 и </w:t>
      </w:r>
      <w:r>
        <w:rPr>
          <w:rFonts w:ascii="Times New Roman" w:hAnsi="Times New Roman"/>
          <w:sz w:val="28"/>
          <w:szCs w:val="28"/>
        </w:rPr>
        <w:t xml:space="preserve">УТВЕРЖДЕН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Рабочей группы по содействию развития конкуренции в муниципальном образовании Ленинградский район </w:t>
      </w:r>
      <w:r>
        <w:rPr>
          <w:rFonts w:ascii="Times New Roman" w:hAnsi="Times New Roman"/>
          <w:sz w:val="28"/>
          <w:szCs w:val="28"/>
        </w:rPr>
        <w:br/>
        <w:t xml:space="preserve">(протокол № 1 от 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января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г.)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387"/>
        <w:jc w:val="center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tbl>
      <w:tblPr>
        <w:tblW w:w="96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46"/>
        <w:gridCol w:w="708"/>
      </w:tblGrid>
      <w:tr>
        <w:tblPrEx/>
        <w:trPr>
          <w:trHeight w:val="743"/>
        </w:trPr>
        <w:tc>
          <w:tcPr>
            <w:tcW w:w="894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096"/>
        </w:trPr>
        <w:tc>
          <w:tcPr>
            <w:tcW w:w="8946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1. Результаты ежегодного мониторинга состояния и развития конкуренции в сферах экономики и на товарных рынках муниципального округа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743"/>
        </w:trPr>
        <w:tc>
          <w:tcPr>
            <w:tcW w:w="8946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2. Результаты мониторинга деятельности хозяйствующих субъектов, доля участия муниципального образования в которых составляет 50 и более процентов.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900"/>
        </w:trPr>
        <w:tc>
          <w:tcPr>
            <w:tcW w:w="8946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3. Создание и реализация механизмов общественного контроля за деятельностью субъектов естественных монополий.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W w:w="8946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4. Административные барьеры, препятствующие развитию малого и среднего предпринимательства.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W w:w="8946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5. Результаты реализации мероприятий «дорожной карты» по содействию развитию конкуренции муниципального образования.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before="120" w:after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W w:w="8946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6.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Сведения о муниципальных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практиках содействия развитию конкуренции,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внедренных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в муниципальном образовании в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2024 году.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before="120" w:after="120"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</w:rPr>
              <w:t xml:space="preserve">23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W w:w="8946" w:type="dxa"/>
            <w:vAlign w:val="center"/>
            <w:textDirection w:val="lrTb"/>
            <w:noWrap/>
          </w:tcPr>
          <w:p>
            <w:pPr>
              <w:jc w:val="both"/>
              <w:spacing w:before="120"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before="120" w:after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spacing w:line="259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br w:type="page" w:clear="all"/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Результаты ежегодного мониторинга состояния и 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конкуренции  в</w:t>
      </w:r>
      <w:r>
        <w:rPr>
          <w:rFonts w:ascii="Times New Roman" w:hAnsi="Times New Roman" w:cs="Times New Roman"/>
          <w:b/>
          <w:sz w:val="24"/>
          <w:szCs w:val="24"/>
        </w:rPr>
        <w:t xml:space="preserve"> сферах экономики и на товарных рынках муниципального образования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исполнение требований Стандарта развития конкуренции в субъектах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утвержденного</w:t>
      </w:r>
      <w:r>
        <w:rPr>
          <w:rFonts w:ascii="Times New Roman" w:hAnsi="Times New Roman" w:cs="Times New Roman"/>
          <w:sz w:val="24"/>
          <w:szCs w:val="24"/>
        </w:rPr>
        <w:t xml:space="preserve"> распоряжением Правительства Российской Федерации от 17 апреля 2019 года № 768-р, в соответствии с распоряжением главы администрации (губернатора) Красн</w:t>
      </w:r>
      <w:r>
        <w:rPr>
          <w:rFonts w:ascii="Times New Roman" w:hAnsi="Times New Roman" w:cs="Times New Roman"/>
          <w:sz w:val="24"/>
          <w:szCs w:val="24"/>
        </w:rPr>
        <w:t xml:space="preserve">одарского края от 16 декабря 2019 года № 416-р «Об утверждении плана  мероприятий («дорожной карты») по содействию развитию конкуренции в Краснодарском крае», в целях реализации мероприятий по внедрению Стандарта развития конкуренции в Краснодарском крае.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 результатам </w:t>
      </w:r>
      <w:r>
        <w:rPr>
          <w:rFonts w:ascii="Times New Roman" w:hAnsi="Times New Roman" w:cs="Times New Roman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z w:val="24"/>
          <w:szCs w:val="24"/>
        </w:rPr>
        <w:t xml:space="preserve"> анализа различных сегментов рынка, присутствующих на территории Ленинградского района, в перечень товарных рынков для содействия развитию конкуренции 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территории муниципального образования Ленинградский район внесены изменения, распоряжением администрации муниципального образования Ленинградский район №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-р от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янва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ря 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г. «О внесении изменений в распоряжение администрации муниципального образования Ленинградский район от 31 декабря  2019 г. № 284 -р «Об утверждении плана мероприятий («дорожной карты») по содействию развитию конкуренции в муниципа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льном образовании Ленинградский район» и сформирован перечень из 31 товарного рынка,  также определены основные мероприятия по содействию развитию конкуренции на товарных рынках, которые в свою очередь позволят достигнуть запланированные целевые показатели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Для проведения мониторинга состояния и развития конкурентной среды на рынках товаров и услуг в ноябре 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года был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проведен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опрос предпринимателей и населения Ленинградского района.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проведенном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опросе приняли участие 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51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жител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Ленинградского района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36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представител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бизнеса.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85"/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yellow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</w:r>
    </w:p>
    <w:p>
      <w:pPr>
        <w:pStyle w:val="885"/>
        <w:numPr>
          <w:ilvl w:val="1"/>
          <w:numId w:val="1"/>
        </w:num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/>
      <w:bookmarkStart w:id="1" w:name="_Hlk90458525"/>
      <w:r>
        <w:rPr>
          <w:rFonts w:ascii="Times New Roman" w:hAnsi="Times New Roman" w:cs="Times New Roman"/>
          <w:b/>
          <w:sz w:val="24"/>
          <w:szCs w:val="24"/>
        </w:rPr>
        <w:t xml:space="preserve">Анализ текущей ситуации на всех </w:t>
      </w:r>
      <w:r>
        <w:rPr>
          <w:rFonts w:ascii="Times New Roman" w:hAnsi="Times New Roman" w:cs="Times New Roman"/>
          <w:b/>
          <w:sz w:val="24"/>
          <w:szCs w:val="24"/>
        </w:rPr>
        <w:t xml:space="preserve">определенных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товарных рынках муниципального образования Ленинградский район.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5"/>
        <w:numPr>
          <w:ilvl w:val="0"/>
          <w:numId w:val="6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/>
      <w:bookmarkStart w:id="2" w:name="_Hlk122601959"/>
      <w:r>
        <w:rPr>
          <w:rFonts w:ascii="Times New Roman" w:hAnsi="Times New Roman" w:cs="Times New Roman"/>
          <w:b/>
          <w:sz w:val="24"/>
          <w:szCs w:val="24"/>
        </w:rPr>
        <w:t xml:space="preserve">Сфера образования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сфере образо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вания, которая состоит из следующих рынков: рынок дошкольного образования, рынок общего образования, рынок услуг дистанционного обучения, рынок психолого-педагогического сопровождения детей с ограниченными возможностями, рынок дополнительного образования, </w:t>
      </w:r>
      <w:r>
        <w:rPr>
          <w:rFonts w:ascii="Times New Roman" w:hAnsi="Times New Roman" w:cs="Times New Roman"/>
          <w:sz w:val="24"/>
          <w:szCs w:val="24"/>
        </w:rPr>
        <w:t xml:space="preserve">следующим образом: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района. Так 20,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дали оценку мало по количеству организаций.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386580" cy="810895"/>
            <wp:effectExtent l="0" t="0" r="13970" b="8255"/>
            <wp:docPr id="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43,7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 уровень</w:t>
      </w:r>
      <w:r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услуг в сфере образования по району</w:t>
      </w:r>
      <w:r>
        <w:rPr>
          <w:rFonts w:ascii="Times New Roman" w:hAnsi="Times New Roman" w:cs="Times New Roman"/>
          <w:sz w:val="24"/>
          <w:szCs w:val="24"/>
        </w:rPr>
        <w:t xml:space="preserve"> повысился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569460" cy="842645"/>
            <wp:effectExtent l="0" t="0" r="2540" b="14604"/>
            <wp:docPr id="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2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ind w:left="45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85"/>
        <w:numPr>
          <w:ilvl w:val="2"/>
          <w:numId w:val="2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услуг дошкольного образования</w:t>
      </w:r>
      <w:bookmarkEnd w:id="1"/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Рынок услуг дошкольного образования представлен муниципальными бюджетными учреждениями. На территории муниципального образования Ленинградский район 24 дошко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льных образовательных учреждений на 3545 мест, которые посещают 2068 детей в возрасте от 0 до 8 лет. Дошкольных образовательных учреждений достаточно, в них имеются более тысячи свободных неукомплектованных мест. Доступность дошкольного образования - 100%.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В муниципальном образовании Ленинградский район зарегистрирован 4571 ребёнок в возрасте от 0 до 8 лет. Охвачено дошкольным образованием различного вида 45,2 % детей в возрасте от 0 года до 8 лет.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В связи с наличием в муниципаль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ных дошкольных образовательных учреждениях широкого спектра предоставления образовательных услуг общеразвивающей и компенсирующей направленностей, на территории муниципального образования не зарегистрированы частные дошкольные образовательные организации. 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Проблемы и препятствия, мешающие развитию конкуренции (административные барьеры, «пробелы» в законодательстве) на данном рынке услуг - отсутствуют.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5"/>
        <w:numPr>
          <w:ilvl w:val="2"/>
          <w:numId w:val="2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услуг общего образования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Доступность общего образования в муниципальном образовании Ленинг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радский район составляет 100%. На территории муниципального образования осуществляют деятельность 21 муниципальное общеобразовательное учреждение, из которых 16 средних, 4 основных и 1 начальная общеобразовательная школа с охватом обучающихся 6198 человек: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На домашнем обучении находится 71 человек.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Удельный вес численности обучающихся, охваченных подвозом, составляет 100%, количество автобусов - 21.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Проблемы и препятствия, мешающие развитию конкуренции (административные барьеры, «пробелы» в законодательств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е) - отсутствуют. Развитие конкуренции на рынке услуг общего образования на основе создания и развития частных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numPr>
          <w:ilvl w:val="2"/>
          <w:numId w:val="2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дистанционного обучения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Дистанционное обучение учащихся общеобразовательных организаций реализуется по моделям: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Модель ГИА – подготовка обучающихся 9-11 классов общеобразовательных организаций муниципального образования Ленинградский район к прохождению государственной итоговой аттестации;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Модель ПРОФИЛЬ – дистанционная поддержка обучающихся 8-11 классов по программам предпрофильной и/или профильной подготовки;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Модель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МКШ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– дистанционная поддержка малокомплектных общеобразовательных организаций муниципального образования Ленинградский район по программам общего и/или дополнительного образования;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Модель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БАЗОБРАЗ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–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дистанционная поддержка обучающихся 1-11 классов, обучающихся по программам общего образования непосредственно по месту жительства обучающегося или его временного пребывания (нахождения), не имеющих по объективным причинам возможности обучаться с классом;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Для орган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изации дистанционного обучения в муниципальном образовании Ленинградский район создан и осуществляет свою деятельность Центр дистанционного образования, как структурное подразделение МАОУ СОШ № 1, которая является базовой школой по дистанционному обучению.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Центр дистанционного обучения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оснащен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рабочими местами педагогов (компьютерным, телекоммуникационным и специализированным оборудованием и программным обеспечением).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pStyle w:val="885"/>
        <w:numPr>
          <w:ilvl w:val="2"/>
          <w:numId w:val="2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психолого-педагогического сопровождения детей с ограниченными возможностями здоровья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Рынок услуг психолого-педагогического сопровождения детей с ограниченными возможностями здоровья в муниципальном образовании предста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влен услугами, оказываемыми государственным учреждением и муниципальными бюджетными учреждениями. Хозяйствующие субъекты частной формы собственности по оказанию соответствующих услуг на территории муниципального образования Ленинградский район отсутствуют.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В 2024 году численность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детей от 0 до 18 лет, имеющих статус ОВЗ, составила 1293 человек. Численность детей-инвалидов из общего числа детей с ОВЗ составила: дошкольного возраста - 47 человек, школьного возраста - 153 (103 человек в общеобразовательных организациях, 45 человек в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ГСКОУ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школе-интернате ст. Ленинградской). 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В муниципальном образовании функционирует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психолого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–медико- педагогическая комиссия (далее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ПМПК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), которая является структурным подразделением МКУ ДПО «Центр развития образования». 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В связи с тем, что психолого-педагогическое сопровождение детей с ограниченными возможностями здоровья в муниципальном образовании осуществляется только муниципальными и государственными учреждениями, обеспечение конкуренции на данном рынке, на основе с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оздания организаций частной формы собственности, будет способствовать повышению качественного уровня оказываемых услуг и удовлетворению социальных запросов населения. Проблемы и препятствия, мешающие развитию конкуренции на данном рынке услуг, отсутствуют.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</w:r>
      <w:r>
        <w:rPr>
          <w:rFonts w:ascii="Times New Roman" w:hAnsi="Times New Roman" w:cs="Times New Roman"/>
          <w:b/>
          <w:color w:val="ff0000"/>
          <w:sz w:val="24"/>
          <w:szCs w:val="24"/>
        </w:rPr>
      </w:r>
      <w:r>
        <w:rPr>
          <w:rFonts w:ascii="Times New Roman" w:hAnsi="Times New Roman" w:cs="Times New Roman"/>
          <w:b/>
          <w:color w:val="ff0000"/>
          <w:sz w:val="24"/>
          <w:szCs w:val="24"/>
        </w:rPr>
      </w:r>
    </w:p>
    <w:p>
      <w:pPr>
        <w:pStyle w:val="885"/>
        <w:numPr>
          <w:ilvl w:val="2"/>
          <w:numId w:val="2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услуг дополнительного образования детей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Рынок услуг дополнительного образования детей на территории муниципального образования Ленинградский район представлен как муниципальными бюджетными учреждениями, подведомственными управлению образования муниципального обра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зования и отделу культуры, муниципальными автономными учреждениями, подведомственными отделу ФК и спорта муниципального образования, так и организациями частной формы собственности. Муниципальные бюджетные учреждения различной направленности представлены: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МАОДОПО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«Ленинградский учебный центр»;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МБУДО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«Детско-юношеский центр»;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МБОДО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«Станция юных техников» и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МБУДО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спортивная школа «Виктория». Хозяйствующие субъекты частной формы собственности осуществляют деятельность по следующим ОКВЭД 85.41.1; 85.41.9.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В 2024 году дополнительным образованием охвачено 8032 детей, что составляет 87,1 % от общего количества несовершеннолетних в возрасте от 5 до 18 лет, проживающих на территории муниципального образования Ленинградский район.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На базе 16 общеобразовательных организаций организованы Центры образования цифрового и гуманитарного профилей «Точка роста».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Проблемы входа хозяйствующих субъектов частной формы собственности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на данный рынок услуг, связаны с нестабильностью спроса на данные услуги, а также с высоким уровнем затрат на востребованные направления (техническое творчество, электроника) и, как следствие, высокой ценой услуги для потребителя. В то же время, дальнейшее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развитие конкуренции на рынке услуг дополнительного образования детей, на основе создания и развития частных образовательных организаций, 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  <w:sz w:val="24"/>
          <w:szCs w:val="24"/>
          <w:highlight w:val="green"/>
        </w:rPr>
      </w:r>
      <w:r>
        <w:rPr>
          <w:rFonts w:ascii="Times New Roman" w:hAnsi="Times New Roman" w:cs="Times New Roman"/>
          <w:sz w:val="24"/>
          <w:szCs w:val="24"/>
          <w:highlight w:val="green"/>
        </w:rPr>
      </w:r>
      <w:r>
        <w:rPr>
          <w:rFonts w:ascii="Times New Roman" w:hAnsi="Times New Roman" w:cs="Times New Roman"/>
          <w:sz w:val="24"/>
          <w:szCs w:val="24"/>
          <w:highlight w:val="green"/>
        </w:rPr>
      </w:r>
    </w:p>
    <w:p>
      <w:pPr>
        <w:pStyle w:val="885"/>
        <w:numPr>
          <w:ilvl w:val="0"/>
          <w:numId w:val="2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/>
      <w:bookmarkStart w:id="3" w:name="_Hlk122607238"/>
      <w:r>
        <w:rPr>
          <w:rFonts w:ascii="Times New Roman" w:hAnsi="Times New Roman" w:cs="Times New Roman"/>
          <w:b/>
          <w:sz w:val="24"/>
          <w:szCs w:val="24"/>
        </w:rPr>
        <w:t xml:space="preserve">Социальная сфера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мониторинга состояния и развития конкурентной среды на рынках товаров и услуг, п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отребители дали оценку качества товаров и услуг, а также состояния конкуренции в социальной сфере, которая состоит из следующих рынков: рынок услуг детского отдыха и образования, рынок медицинских услуг, рынок социального предпринимательства, рынок труда,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рынок досуга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молодежи</w:t>
      </w:r>
      <w:r>
        <w:rPr>
          <w:rFonts w:ascii="Times New Roman" w:hAnsi="Times New Roman" w:cs="Times New Roman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социальной сфере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района. Так </w:t>
      </w:r>
      <w:r>
        <w:rPr>
          <w:rFonts w:ascii="Times New Roman" w:hAnsi="Times New Roman" w:cs="Times New Roman"/>
          <w:sz w:val="24"/>
          <w:szCs w:val="24"/>
        </w:rPr>
        <w:t xml:space="preserve">72,1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дали </w:t>
      </w:r>
      <w:r>
        <w:rPr>
          <w:rFonts w:ascii="Times New Roman" w:hAnsi="Times New Roman" w:cs="Times New Roman"/>
          <w:sz w:val="24"/>
          <w:szCs w:val="24"/>
        </w:rPr>
        <w:t xml:space="preserve">оценку</w:t>
      </w:r>
      <w:r>
        <w:rPr>
          <w:rFonts w:ascii="Times New Roman" w:hAnsi="Times New Roman" w:cs="Times New Roman"/>
          <w:sz w:val="24"/>
          <w:szCs w:val="24"/>
        </w:rPr>
        <w:t xml:space="preserve"> «достаточно»</w:t>
      </w:r>
      <w:r>
        <w:rPr>
          <w:rFonts w:ascii="Times New Roman" w:hAnsi="Times New Roman" w:cs="Times New Roman"/>
          <w:sz w:val="24"/>
          <w:szCs w:val="24"/>
        </w:rPr>
        <w:t xml:space="preserve"> количеству организаций.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371975" cy="803081"/>
            <wp:effectExtent l="0" t="0" r="9525" b="16510"/>
            <wp:docPr id="3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37,6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 уровень</w:t>
      </w:r>
      <w:r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услуг в социальной сфере по району</w:t>
      </w:r>
      <w:r>
        <w:rPr>
          <w:rFonts w:ascii="Times New Roman" w:hAnsi="Times New Roman" w:cs="Times New Roman"/>
          <w:sz w:val="24"/>
          <w:szCs w:val="24"/>
        </w:rPr>
        <w:t xml:space="preserve"> повысился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3905250" cy="904875"/>
            <wp:effectExtent l="0" t="0" r="0" b="9525"/>
            <wp:docPr id="4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bookmarkEnd w:id="3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ind w:left="818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услуг детского отдыха и оздоровления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/>
      <w:bookmarkStart w:id="4" w:name="_Hlk124235588"/>
      <w:r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Ленинградский район, организации частной формы собственности и индивидуальные предприниматели, оказывающие услуги детского отдыха и оздоровления, отсутствуют. Полномочия по организации и обеспе</w:t>
      </w:r>
      <w:r>
        <w:rPr>
          <w:rFonts w:ascii="Times New Roman" w:hAnsi="Times New Roman" w:cs="Times New Roman"/>
          <w:sz w:val="24"/>
          <w:szCs w:val="24"/>
        </w:rPr>
        <w:t xml:space="preserve">чению отдыха и оздоровления детей (за исключением организации отдыха детей в каникулярное время) осуществляются органами государственной власти субъектов Российской Федерации (статья 5 Федерального закона от 24.07.1998 № 124-ФЗ «Об основных гарантиях прав </w:t>
      </w:r>
      <w:r>
        <w:rPr>
          <w:rFonts w:ascii="Times New Roman" w:hAnsi="Times New Roman" w:cs="Times New Roman"/>
          <w:sz w:val="24"/>
          <w:szCs w:val="24"/>
        </w:rPr>
        <w:t xml:space="preserve">ребенка</w:t>
      </w:r>
      <w:r>
        <w:rPr>
          <w:rFonts w:ascii="Times New Roman" w:hAnsi="Times New Roman" w:cs="Times New Roman"/>
          <w:sz w:val="24"/>
          <w:szCs w:val="24"/>
        </w:rPr>
        <w:t xml:space="preserve"> в Российской Федерации»).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проведения оздоровительной кампании 2024 года на территории муниципального образования Ленинградский район была запланирована работа 66 организаций отдыха детей и их оздоровления,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 профильных лагерей,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питания, за </w:t>
      </w:r>
      <w:r>
        <w:rPr>
          <w:rFonts w:ascii="Times New Roman" w:hAnsi="Times New Roman" w:cs="Times New Roman"/>
          <w:sz w:val="24"/>
          <w:szCs w:val="24"/>
        </w:rPr>
        <w:t xml:space="preserve">счет</w:t>
      </w:r>
      <w:r>
        <w:rPr>
          <w:rFonts w:ascii="Times New Roman" w:hAnsi="Times New Roman" w:cs="Times New Roman"/>
          <w:sz w:val="24"/>
          <w:szCs w:val="24"/>
        </w:rPr>
        <w:t xml:space="preserve"> краевого и местного бюджетов (далее – также </w:t>
      </w:r>
      <w:r>
        <w:rPr>
          <w:rFonts w:ascii="Times New Roman" w:hAnsi="Times New Roman" w:cs="Times New Roman"/>
          <w:sz w:val="24"/>
          <w:szCs w:val="24"/>
        </w:rPr>
        <w:t xml:space="preserve">ПЛДП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лагерей труда и отдыха с дневным пребыванием при образовательных организациях (далее – также ЛТО),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палаточных лагеря.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Планируемый охват составил 2479 школьников,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ПЛДП</w:t>
      </w:r>
      <w:r>
        <w:rPr>
          <w:rFonts w:ascii="Times New Roman" w:hAnsi="Times New Roman" w:cs="Times New Roman"/>
          <w:sz w:val="24"/>
          <w:szCs w:val="24"/>
        </w:rPr>
        <w:t xml:space="preserve"> – 1867 детей, в ЛТО – 372 </w:t>
      </w:r>
      <w:r>
        <w:rPr>
          <w:rFonts w:ascii="Times New Roman" w:hAnsi="Times New Roman" w:cs="Times New Roman"/>
          <w:sz w:val="24"/>
          <w:szCs w:val="24"/>
        </w:rPr>
        <w:t xml:space="preserve">ребенка</w:t>
      </w:r>
      <w:r>
        <w:rPr>
          <w:rFonts w:ascii="Times New Roman" w:hAnsi="Times New Roman" w:cs="Times New Roman"/>
          <w:sz w:val="24"/>
          <w:szCs w:val="24"/>
        </w:rPr>
        <w:t xml:space="preserve">, в палаточных лагерях - 240 детей.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организации внесены в «Реестр организации отдыха детей и их оздоровления» Краснодарского края.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 на работу организаций не поступало. Административные барьеры для входа на рынок субъектов малого и среднего предпринимательства отсутствуют.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медицинских услуг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основных критериев оценки комфортности жизни населения является доступность и качество медицинской помощи.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Рынок медицинских услуг на территории муниципального образования представлен 22 субъектами. Медицинскую помощь населению оказывают: </w:t>
      </w:r>
      <w:r>
        <w:rPr>
          <w:rFonts w:ascii="Times New Roman" w:hAnsi="Times New Roman" w:cs="Times New Roman"/>
          <w:sz w:val="24"/>
          <w:szCs w:val="24"/>
        </w:rPr>
        <w:t xml:space="preserve">ГБУЗ</w:t>
      </w:r>
      <w:r>
        <w:rPr>
          <w:rFonts w:ascii="Times New Roman" w:hAnsi="Times New Roman" w:cs="Times New Roman"/>
          <w:sz w:val="24"/>
          <w:szCs w:val="24"/>
        </w:rPr>
        <w:t xml:space="preserve"> «Ленинградская ЦРБ» МЗ КК, ООО МЦ «Гиппократ», ООО «Южное» (ООО «Центр здоровья»), ООО СЦ «</w:t>
      </w:r>
      <w:r>
        <w:rPr>
          <w:rFonts w:ascii="Times New Roman" w:hAnsi="Times New Roman" w:cs="Times New Roman"/>
          <w:sz w:val="24"/>
          <w:szCs w:val="24"/>
        </w:rPr>
        <w:t xml:space="preserve">Денталюкс</w:t>
      </w:r>
      <w:r>
        <w:rPr>
          <w:rFonts w:ascii="Times New Roman" w:hAnsi="Times New Roman" w:cs="Times New Roman"/>
          <w:sz w:val="24"/>
          <w:szCs w:val="24"/>
        </w:rPr>
        <w:t xml:space="preserve">», ООО «Стоматологический центр «Александрия», 7 врачей общей врачебной практики, имею</w:t>
      </w:r>
      <w:r>
        <w:rPr>
          <w:rFonts w:ascii="Times New Roman" w:hAnsi="Times New Roman" w:cs="Times New Roman"/>
          <w:sz w:val="24"/>
          <w:szCs w:val="24"/>
        </w:rPr>
        <w:t xml:space="preserve">щие статус индивидуальных предпринимателей, 6 врачей стоматологической практики, имеющие статус индивидуальных предпринимателей, 4 субъектов, осуществляющих деятельность в области медицины и здравоохранения, имеющие статус индивидуальных предпринимателей.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Мощность амбулаторно-поликлинических отделений (взрослой, детской, стоматологической поликлиник и женской консультации) составляет 1392 посещения в смену.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центральной районной больницы круглосуточная медицинская помощь оказывается 2 участковыми больницами в ст. Крыловской и ст. Новоплатнировской, 9 врачебных амбулаторий в </w:t>
      </w:r>
      <w:r>
        <w:rPr>
          <w:rFonts w:ascii="Times New Roman" w:hAnsi="Times New Roman" w:cs="Times New Roman"/>
          <w:sz w:val="24"/>
          <w:szCs w:val="24"/>
        </w:rPr>
        <w:t xml:space="preserve">поселках</w:t>
      </w:r>
      <w:r>
        <w:rPr>
          <w:rFonts w:ascii="Times New Roman" w:hAnsi="Times New Roman" w:cs="Times New Roman"/>
          <w:sz w:val="24"/>
          <w:szCs w:val="24"/>
        </w:rPr>
        <w:t xml:space="preserve"> Октябрьский, Первомайский, Образцовый, Уманский, Бичевой, хуторах Коржи, Белый, Куликовский, Западный, 5 фельдшерско-акушерских пункта в хуторах  Ромашки, Восточный, Андрющенко, </w:t>
      </w:r>
      <w:r>
        <w:rPr>
          <w:rFonts w:ascii="Times New Roman" w:hAnsi="Times New Roman" w:cs="Times New Roman"/>
          <w:sz w:val="24"/>
          <w:szCs w:val="24"/>
        </w:rPr>
        <w:t xml:space="preserve">Краснострелецкий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поселке</w:t>
      </w:r>
      <w:r>
        <w:rPr>
          <w:rFonts w:ascii="Times New Roman" w:hAnsi="Times New Roman" w:cs="Times New Roman"/>
          <w:sz w:val="24"/>
          <w:szCs w:val="24"/>
        </w:rPr>
        <w:t xml:space="preserve"> Звезда.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Жалобы пациентов на работу отрасли здравоохранение носят стабильный характер, как правило, жалобы на обеспечение лекарственными препаратами льготных категорий граждан.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</w:t>
      </w:r>
      <w:r>
        <w:rPr>
          <w:rFonts w:ascii="Times New Roman" w:hAnsi="Times New Roman" w:cs="Times New Roman"/>
          <w:sz w:val="24"/>
          <w:szCs w:val="24"/>
        </w:rPr>
        <w:t xml:space="preserve">ры для дальнейшего входа на рынок субъектов малого и среднего предпринимательства отсутствуют. Доступ частных медицинских организаций к участию в ТП ОМС носит заявительный характер. Дальнейшее развитие конкуренции на рынке медицинских услуг на основе созда</w:t>
      </w:r>
      <w:r>
        <w:rPr>
          <w:rFonts w:ascii="Times New Roman" w:hAnsi="Times New Roman" w:cs="Times New Roman"/>
          <w:sz w:val="24"/>
          <w:szCs w:val="24"/>
        </w:rPr>
        <w:t xml:space="preserve">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населения. Проблемы и препятствия, мешающие развитию конкуренции, на представленном рынке отсутствуют.</w:t>
      </w:r>
      <w:bookmarkEnd w:id="4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Рынок социального предпринимательства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850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Социальным предпринимательством признаётся деятельность малых и средних предприятий (субъектов малого и среднего предпринимательства), которая направлена на достижение общественно полезных целей и способствует решению социальных проблем граждан и общества.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850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муниципальном округе в 2024 году 2 индивидуальных предпринимателя имели статус социального предприятия ИП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Толпеев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И.В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., ИП Бугаев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А.Д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барьеры для дальнейшего выхода частного предпринимательства на анализируемый товарных рынок отсутствуют.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Основной задачей является увеличить количество социальных предпринимателей на территории района.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hAnsi="Times New Roman" w:cs="Times New Roman"/>
          <w:b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sz w:val="24"/>
          <w:szCs w:val="24"/>
          <w:highlight w:val="green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труда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Численность населения, занятого в экономике Ленинградского района в 2024 году, согласно балансу трудовых ресурсов составляет 24,2 тыс. человек. Реализацию политики в области содействия занятости населения осуществляет ГКУ КК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ЦЗН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Ленинградского района.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отчетном</w:t>
      </w:r>
      <w:r>
        <w:rPr>
          <w:rFonts w:ascii="Times New Roman" w:hAnsi="Times New Roman" w:cs="Times New Roman"/>
          <w:sz w:val="24"/>
          <w:szCs w:val="24"/>
        </w:rPr>
        <w:t xml:space="preserve"> периоде 206 работодателями, осуществляющими деятельность на территории муниципального образования, в центр занятости населения заявлено 4758 вакансий.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содействием в поиске подходящей работы в </w:t>
      </w:r>
      <w:r>
        <w:rPr>
          <w:rFonts w:ascii="Times New Roman" w:hAnsi="Times New Roman" w:cs="Times New Roman"/>
          <w:sz w:val="24"/>
          <w:szCs w:val="24"/>
        </w:rPr>
        <w:t xml:space="preserve">отчетном</w:t>
      </w:r>
      <w:r>
        <w:rPr>
          <w:rFonts w:ascii="Times New Roman" w:hAnsi="Times New Roman" w:cs="Times New Roman"/>
          <w:sz w:val="24"/>
          <w:szCs w:val="24"/>
        </w:rPr>
        <w:t xml:space="preserve"> периоде обратилось 734 человека, что на 4,4 % больше, чем в 2023 году. При содействии службы занятости населения работу нашли 481 человек (65,5% от количества обратившихся).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1 января 2025 года на </w:t>
      </w:r>
      <w:r>
        <w:rPr>
          <w:rFonts w:ascii="Times New Roman" w:hAnsi="Times New Roman" w:cs="Times New Roman"/>
          <w:sz w:val="24"/>
          <w:szCs w:val="24"/>
        </w:rPr>
        <w:t xml:space="preserve">учете</w:t>
      </w:r>
      <w:r>
        <w:rPr>
          <w:rFonts w:ascii="Times New Roman" w:hAnsi="Times New Roman" w:cs="Times New Roman"/>
          <w:sz w:val="24"/>
          <w:szCs w:val="24"/>
        </w:rPr>
        <w:t xml:space="preserve"> по безработице состоит 126 человек. Уровень регистрируемой безработицы составил 0,4% (по краю – 0,3%).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в рамках федерального проекта "Содействие занятости" наци</w:t>
      </w:r>
      <w:r>
        <w:rPr>
          <w:rFonts w:ascii="Times New Roman" w:hAnsi="Times New Roman" w:cs="Times New Roman"/>
          <w:sz w:val="24"/>
          <w:szCs w:val="24"/>
        </w:rPr>
        <w:t xml:space="preserve">онального проекта "Демография" на профессиональное обучение направлено 22 человека, трудоустроено 100,0%. В рамках реализации государственной программы Краснодарского края «Содействие занятости населения» обучено 68 безработных граждан, трудоустроено 97%.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барьеры для дальнейшего выхода частного предпринимательства на анализируемый товарных рынок отсутствуют.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отношений.</w:t>
      </w:r>
      <w:r>
        <w:rPr>
          <w:rFonts w:ascii="Times New Roman" w:hAnsi="Times New Roman" w:cs="Times New Roman"/>
          <w:sz w:val="24"/>
          <w:szCs w:val="24"/>
          <w:highlight w:val="green"/>
        </w:rPr>
      </w:r>
      <w:r>
        <w:rPr>
          <w:rFonts w:ascii="Times New Roman" w:hAnsi="Times New Roman" w:cs="Times New Roman"/>
          <w:sz w:val="24"/>
          <w:szCs w:val="24"/>
          <w:highlight w:val="green"/>
        </w:rPr>
      </w:r>
    </w:p>
    <w:p>
      <w:pPr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hAnsi="Times New Roman" w:cs="Times New Roman"/>
          <w:b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sz w:val="24"/>
          <w:szCs w:val="24"/>
          <w:highlight w:val="green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досуга </w:t>
      </w:r>
      <w:r>
        <w:rPr>
          <w:rFonts w:ascii="Times New Roman" w:hAnsi="Times New Roman" w:cs="Times New Roman"/>
          <w:b/>
          <w:sz w:val="24"/>
          <w:szCs w:val="24"/>
        </w:rPr>
        <w:t xml:space="preserve">молодеж</w:t>
      </w:r>
      <w:r>
        <w:rPr>
          <w:rFonts w:ascii="Times New Roman" w:hAnsi="Times New Roman" w:cs="Times New Roman"/>
          <w:b/>
          <w:sz w:val="24"/>
          <w:szCs w:val="24"/>
        </w:rPr>
        <w:t xml:space="preserve">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Реализацией государственной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молодежной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политики в Ленинградском районе осуществляется отделом по делам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молодежи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администрации Ленинградского муниципального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округа и муниципальным казённым учреждением «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Молодежный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центр» Ленинградского муниципального округа. На базе отдела по делам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молодежи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администрации Ленинградского муниципального округа осуществляют свою деятельность 11 клубов по месту жительства с охватом 320 человек.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Всего за 2024 год отделом по делам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молодежи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администрации Ленинградского муниципального округа было проведено 318 мероприятия в области военно-патриотического и гражданского воспитание с общим количеством участников 32168 человек (9357 – уникальных), что указывает на вовлеченность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молодежи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 в военно-патриотическое и гражданское воспитание.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Административные барьеры для дальнейшего выхода частного предпринимательства на анализируемый товарных рынок отсутствуют.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Основной задачей по развитию конкуренции на рынке является обеспечение добросовестной конкуренции и сохранение сложившегося уровня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конкурентных отношений.</w:t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14:ligatures w14:val="standardContextual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hAnsi="Times New Roman" w:cs="Times New Roman"/>
          <w:b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sz w:val="24"/>
          <w:szCs w:val="24"/>
          <w:highlight w:val="green"/>
        </w:rPr>
      </w:r>
    </w:p>
    <w:p>
      <w:pPr>
        <w:pStyle w:val="885"/>
        <w:numPr>
          <w:ilvl w:val="0"/>
          <w:numId w:val="2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Сфера ЖКХ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мониторинга сос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тояния и развития конкурентной среды на рынках товаров и услуг, потребители дали оценку качества товаров и услуг, а также состояния конкуренции в сфере ЖКХ, которая состоит из следующих рынков: рынок ритуальных услуг, рынок теплоснабжения (производство теп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ловой энергии), рынок выполнения работ по благоустройству городской среды, рынок выполнения работ по содержанию и текущему ремонту общего имущества собственников помещений  в многоквартирном доме, рынок водоснабжения и водоотведения, рынок электроэнергии  </w:t>
      </w:r>
      <w:r>
        <w:rPr>
          <w:rFonts w:ascii="Times New Roman" w:hAnsi="Times New Roman" w:cs="Times New Roman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ЖКХ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района. Так </w:t>
      </w:r>
      <w:r>
        <w:rPr>
          <w:rFonts w:ascii="Times New Roman" w:hAnsi="Times New Roman" w:cs="Times New Roman"/>
          <w:sz w:val="24"/>
          <w:szCs w:val="24"/>
        </w:rPr>
        <w:t xml:space="preserve">67,0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районе достаточно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486275" cy="1028700"/>
            <wp:effectExtent l="0" t="0" r="9525" b="0"/>
            <wp:docPr id="5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31,4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 уровень</w:t>
      </w:r>
      <w:r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услуг в сфере ЖКХ по району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повысился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3924300" cy="952500"/>
            <wp:effectExtent l="0" t="0" r="0" b="0"/>
            <wp:docPr id="6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ритуальных услуг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96"/>
        <w:ind w:firstLine="567"/>
        <w:jc w:val="both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Ритуальные услуги - являются важным элементом рыночной системы хозяйствования, имеющие свои специфические особенности и параметры, что обуславливает необходимость выделения их в самостоятельный вид деятельности и разработку комплекса мер по их развитию.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</w:t>
      </w:r>
      <w:r>
        <w:rPr>
          <w:rFonts w:ascii="Times New Roman" w:hAnsi="Times New Roman" w:cs="Times New Roman"/>
          <w:sz w:val="24"/>
          <w:szCs w:val="24"/>
        </w:rPr>
        <w:t xml:space="preserve">ного образования Ленинградский район отсутствуют муниципальные специализированные службы по похоронному делу. Предпринимательскую деятельность в сфере организации похорон и предоставлении связанных с ним услуг осуществляют 3 индивидуальных предпринимателя.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барьеры для дальнейшего входа на рынок субъектов малого и среднего предпри</w:t>
      </w:r>
      <w:r>
        <w:rPr>
          <w:rFonts w:ascii="Times New Roman" w:hAnsi="Times New Roman" w:cs="Times New Roman"/>
          <w:sz w:val="24"/>
          <w:szCs w:val="24"/>
        </w:rPr>
        <w:t xml:space="preserve">нимательства отсутствуют. Жалоб на работу организаций, оказывающих услуг социального обслуживания населения не поступало. Основной задачей по содействию развитию конкуренции на рынке ритуальных услуг является дальнейшее развитие добросовестной конкуренции.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теплоснабжения (производство тепловой энергии)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системе теплоснабжения (производство тепловой энергии) муниципального образования функционируют 47 котельных и свыше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27,346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км тепловых сетей, как входящих в системы централизованного теплоснабжения населения, так и находящихся на балансе организаций муниципальной собственности. На рынке теплоснабжения действует 1 основное специализированное предприятие ООО 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СПКК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 филиал Ленинградские теплосети, которым эксплуатируется 23,347 км тепловых сетей и 38 газовых котельных.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Жалобы населения на данную категорию услуг носят не стабильный характер, как правило, вопросы о предоставляемых услугах ненадлежащего качества (перебои в теплоснабжении).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Административных барьеров для входа хозяйствующих субъектов частной формы собственности на данный рынок услуг нет.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выполнения работ по благоустройству городской среды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ории Ленинградского района отсутствуют муниципальные специализированные службы по благоустройству городской среды. Предпринимательскую деятельность, в том числе в сфере благоустройства ландшафта осуществляют 4 индивидуальных предпринимателя и ООО «Центр».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91"/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2024 году на территории муниципального образования Ленинградский район завершены работы по благоустройству следующих общественных территорий:</w:t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-Первомайское сельское поселение, объект «Благоустройство общественной территории, расположенной по адресу: Краснодарский край, Ленинградский район, Первомайское сельское поселение. п. Первомайский»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-Крыловское сельское поселение, объект «Благоустройство общественной территории по ул. Ленина, 3 в станице Крыловской, Ленинградского района, Краснодарского края»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Ленинградское сельское поселение объект «Благоустройство общественной территории, набережной около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водоема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между ул. Коммунальной и ул. Ленина» в станице Ленинградской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Административные барьеры для дальнейшего входа на рынок частного предпринимательства отсутствуют.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выполнения работ по содержанию и текущему ремонту общего имущества собственников помещений в многоквартирном доме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Ленинградский район 190 многоквартирных </w:t>
      </w:r>
      <w:r>
        <w:rPr>
          <w:rFonts w:ascii="Times New Roman" w:hAnsi="Times New Roman" w:cs="Times New Roman"/>
          <w:sz w:val="24"/>
          <w:szCs w:val="24"/>
        </w:rPr>
        <w:t xml:space="preserve">домов. На рынке выполнения работ по содержанию и текущему ремонту общего имущества собственников помещений в многоквартирном доме муниципального образования действуют 6 специализированных хозяйствующих субъектов, относящихся к частной форме собственности.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постановлением администрации муниципального образования Ленинградский район </w:t>
      </w:r>
      <w:r>
        <w:rPr>
          <w:rFonts w:ascii="Times New Roman" w:hAnsi="Times New Roman" w:cs="Times New Roman"/>
          <w:sz w:val="24"/>
          <w:szCs w:val="24"/>
        </w:rPr>
        <w:t xml:space="preserve">утвержден</w:t>
      </w:r>
      <w:r>
        <w:rPr>
          <w:rFonts w:ascii="Times New Roman" w:hAnsi="Times New Roman" w:cs="Times New Roman"/>
          <w:sz w:val="24"/>
          <w:szCs w:val="24"/>
        </w:rPr>
        <w:t xml:space="preserve"> план провед</w:t>
      </w:r>
      <w:r>
        <w:rPr>
          <w:rFonts w:ascii="Times New Roman" w:hAnsi="Times New Roman" w:cs="Times New Roman"/>
          <w:sz w:val="24"/>
          <w:szCs w:val="24"/>
        </w:rPr>
        <w:t xml:space="preserve">ения капитального ремонта, в который вошли 5 многоквартирных домов на территории ст. Ленинградской. В этих многоквартирных домах, принявших положительное решение о проведении капитального ремонта выполнен капитальный ремонт кровли, систем электроснабжения.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барьеры для дальнейшего входа на рынок частного предпринимательства отсутствуют. Дальнейшее развитие конкуренции на рынке будет способствовать повышению качества обслуживания населения.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водоснабжения и водоотведения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Разведанные запасы Ленинградского месторождения подземных пресных вод составляют 155,0 тыс. куб. м в сутки. Суммарная мощность водозаборов, расположенных на территории муниципального образования равна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112 тыс. куб. м в сутки. В сфере водоснабжения и водоотведения района в настоящее время осуществляют деятельность 1 специализированная муниципальная унитарное предприятие. Основная масса объектов водоснабжения и водоотведения имеют высокую степень износа.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Среднерайонный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показатель физического износа сетей водоснабжения и водоотведения составляет 67%.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За прошедший год выполнены работы по замене сетей водоснабжения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протяженностью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17,211 км. На 2025 год поставлен 5% план по замене сетей водоснабжения и водоотведения, составляющий 21,0 км от общей протяженности.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Администрация муниципального образования Ленинградский район является участник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ом национального проекта «Чистая вода» в рамках государственной программы Краснодарского края «Развитие жилищно-коммунального хозяйства» с объектом «Реконструкция водозабора со строительством станции очистки воды от сероводорода производительностью 10 000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м.куб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/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сут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 в ст. Ленинградской».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851"/>
        <w:jc w:val="both"/>
        <w:tabs>
          <w:tab w:val="left" w:pos="851" w:leader="none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Ввод в эксплуатацию станции очистки воды в ст. Ленинградской планируется в 2025 году.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электроэнергетики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jc w:val="both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В Ленинградском районе функцион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ирует 1 сетевая организация, оказывающая услуги по передаче электрической энергии – Ленинградские электрические сети филиал ОАО «Кубаньэнерго».  Установленная мощность всего составляет более 70 МВ*А. Уровень износа основных фондов в электрических сетях – 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0%. Доля организаций частной формы собственности, осуществляющих деятельность по производству электроэнергии на розничном рынке и осуществляющих деятельность по купле-продаже электроэнергии (энергосбытовую деятельность) на розничном рынке, составляет 100%.</w:t>
      </w:r>
      <w:r>
        <w:rPr>
          <w:rFonts w:ascii="Times New Roman" w:hAnsi="Times New Roman" w:cs="Times New Roman"/>
          <w:sz w:val="24"/>
          <w:szCs w:val="24"/>
          <w:highlight w:val="green"/>
        </w:rPr>
      </w:r>
      <w:r>
        <w:rPr>
          <w:rFonts w:ascii="Times New Roman" w:hAnsi="Times New Roman" w:cs="Times New Roman"/>
          <w:sz w:val="24"/>
          <w:szCs w:val="24"/>
          <w:highlight w:val="green"/>
        </w:rPr>
      </w:r>
    </w:p>
    <w:p>
      <w:pPr>
        <w:pStyle w:val="885"/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85"/>
        <w:numPr>
          <w:ilvl w:val="0"/>
          <w:numId w:val="2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Сфера транспортного комплекса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сфере транспортного комплекса, которая состоит из следующих р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ынков: рынок оказания услуг по перевозке пассажиров автомобильным транспортом по муниципальным маршрутам регулярных перевозок, рынок оказания услуг по перевозке пассажиров и багажа легковым такси на территории муниципального образования Ленинградский район</w:t>
      </w:r>
      <w:r>
        <w:rPr>
          <w:rFonts w:ascii="Times New Roman" w:hAnsi="Times New Roman" w:cs="Times New Roman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транспортного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района. Так </w:t>
      </w:r>
      <w:r>
        <w:rPr>
          <w:rFonts w:ascii="Times New Roman" w:hAnsi="Times New Roman" w:cs="Times New Roman"/>
          <w:sz w:val="24"/>
          <w:szCs w:val="24"/>
        </w:rPr>
        <w:t xml:space="preserve">53,6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дать оценку </w:t>
      </w:r>
      <w:r>
        <w:rPr>
          <w:rFonts w:ascii="Times New Roman" w:hAnsi="Times New Roman" w:cs="Times New Roman"/>
          <w:sz w:val="24"/>
          <w:szCs w:val="24"/>
        </w:rPr>
        <w:t xml:space="preserve">считают, что </w:t>
      </w:r>
      <w:r>
        <w:rPr>
          <w:rFonts w:ascii="Times New Roman" w:hAnsi="Times New Roman" w:cs="Times New Roman"/>
          <w:sz w:val="24"/>
          <w:szCs w:val="24"/>
        </w:rPr>
        <w:t xml:space="preserve">количеств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районе достаточно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476750" cy="1114425"/>
            <wp:effectExtent l="0" t="0" r="0" b="9525"/>
            <wp:docPr id="7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29,0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</w:rPr>
        <w:t xml:space="preserve"> качество услуг в сфере транспортного комплекса по району</w:t>
      </w:r>
      <w:r>
        <w:rPr>
          <w:rFonts w:ascii="Times New Roman" w:hAnsi="Times New Roman" w:cs="Times New Roman"/>
          <w:sz w:val="24"/>
          <w:szCs w:val="24"/>
        </w:rPr>
        <w:t xml:space="preserve"> повысилось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3962400" cy="866775"/>
            <wp:effectExtent l="0" t="0" r="0" b="9525"/>
            <wp:docPr id="8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ind w:left="0"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оказания услуг по перевозке пассажиров автомобильным транспортом по муниципальным маршрутам регулярных перевозок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Пассажирский транспорт является одним из основных элементов социальной инфраструктуры Ленинградского района, обеспечивающим потребность жителей станицы 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енинградской и сельских поселений района в городских и пригородных перевозках. На территории муниципального образования Ленинградский район действуют 9 городских автобусных маршрутов и 7 автобусных маршрутов пригородного сообщения. Перевозку пассажиров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межпоселенческим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городским автобусными маршрутами регулярных перевозок осуществляют 1 микропредприятие ООО «Пассажир Транс Сервис».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Административные барьеры для дальнейшего входа на рынок субъектов малого и среднего предпринимательства отсутствуют. Развитие конкуренции на рынке будет способствовать повышению качества обслуживания населения.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highlight w:val="green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green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оказания услуг по перевозке пассажиров и багажа легковым такси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tabs>
          <w:tab w:val="left" w:pos="-284" w:leader="none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территории Ленинградского района осуществляют деятельность свыше 53 индивидуальных предпринимателей, имеющих разрешение на осуществление деятельности по перевозке пассажиров и багажа легковыми такси на территории Краснодарского края.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-284" w:leader="none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Административные барьеры для дальнейшего входа на рынок субъектов малого и среднего предпринимательства отсутствуют. Развитие конкуренции на рынке будет способствовать повышению качества обслуживания населения.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-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0"/>
          <w:numId w:val="2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Сфера информационных технологий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мониторинга состояния и развития конкурентной среды на рынках товаров и услуг, потребители дали оценку кач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ества товаров и услуг, а также состояния конкуренции в сфере информационных технологий, которая состоит из следующих рынков: рынок услуг связи, в том числе услуг по предоставлению широкополосного доступа к информационно-телекоммуникационной сети «Интернет»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в сфере информационных технологий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оказываемых на территории нашего района. Так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62,5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считают, что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районе достаточно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286250" cy="885825"/>
            <wp:effectExtent l="0" t="0" r="0" b="9525"/>
            <wp:docPr id="9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35,9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затруднились ответить о</w:t>
      </w:r>
      <w:r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услуг в сфере информационных технологий по району.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453738" cy="1338580"/>
            <wp:effectExtent l="0" t="0" r="4445" b="13970"/>
            <wp:docPr id="10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услуг связи, в том числе услуг по предоставлению широкополосного доступа к информационно-телекоммуникационной сети «Интернет»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Для обеспечения населения услугами связи и современными информационными сервисами в муниципальном образовании 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ведется</w:t>
      </w: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 целенаправленная работа по созданию необходимых правовых и экономических условий, обеспечивающих устойчивое функционирование и развитие отрасли «связь» (включая сети связи общего пользования). </w:t>
      </w: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ascii="Times New Roman" w:hAnsi="Times New Roman" w:cs="Times New Roman" w:eastAsiaTheme="minorHAnsi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ассовые социально значимые муниципальные услуги (далее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МСЗУ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), доступны в электронном виде, предоставляются с использованием Единого портала государственных и муниципальных услуг (функций).</w:t>
      </w:r>
      <w:r>
        <w:rPr>
          <w:rFonts w:ascii="Times New Roman" w:hAnsi="Times New Roman" w:cs="Times New Roman" w:eastAsiaTheme="minorHAnsi"/>
          <w:sz w:val="24"/>
          <w:szCs w:val="24"/>
        </w:rPr>
      </w:r>
      <w:r>
        <w:rPr>
          <w:rFonts w:ascii="Times New Roman" w:hAnsi="Times New Roman" w:cs="Times New Roman" w:eastAsiaTheme="minorHAnsi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 на работу организаций, оказывающих услуги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связи, </w:t>
      </w:r>
      <w:r>
        <w:rPr>
          <w:rFonts w:ascii="Times New Roman" w:hAnsi="Times New Roman" w:cs="Times New Roman"/>
          <w:sz w:val="24"/>
          <w:szCs w:val="24"/>
        </w:rPr>
        <w:t xml:space="preserve">не поступало.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барьеры для дальнейшего входа на рынок субъектов малого и среднего предпринимательства отсутствуют. Дальнейшее развитие конкуренции на рынке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услуг связи </w:t>
      </w:r>
      <w:r>
        <w:rPr>
          <w:rFonts w:ascii="Times New Roman" w:hAnsi="Times New Roman" w:cs="Times New Roman"/>
          <w:sz w:val="24"/>
          <w:szCs w:val="24"/>
        </w:rPr>
        <w:t xml:space="preserve">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0"/>
          <w:numId w:val="2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Сфера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фере строительства, которая состоит из следующих рынков: рынок жилищного строительства, рынок строительства объектов капитального строительства, за исключением жилищного и дорожного строительства, рынок дорожной деятельности (за исключением проектирования)</w:t>
      </w:r>
      <w:r>
        <w:rPr>
          <w:rFonts w:ascii="Times New Roman" w:hAnsi="Times New Roman" w:cs="Times New Roman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района. Так </w:t>
      </w:r>
      <w:r>
        <w:rPr>
          <w:rFonts w:ascii="Times New Roman" w:hAnsi="Times New Roman" w:cs="Times New Roman"/>
          <w:sz w:val="24"/>
          <w:szCs w:val="24"/>
        </w:rPr>
        <w:t xml:space="preserve">58,8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районе достаточно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724400" cy="755374"/>
            <wp:effectExtent l="0" t="0" r="0" b="6985"/>
            <wp:docPr id="11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33,8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</w:rPr>
        <w:t xml:space="preserve"> качество услуг в сфере строительства по району</w:t>
      </w:r>
      <w:r>
        <w:rPr>
          <w:rFonts w:ascii="Times New Roman" w:hAnsi="Times New Roman" w:cs="Times New Roman"/>
          <w:sz w:val="24"/>
          <w:szCs w:val="24"/>
        </w:rPr>
        <w:t xml:space="preserve"> повысилось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684174" cy="858520"/>
            <wp:effectExtent l="0" t="0" r="2540" b="17780"/>
            <wp:docPr id="12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ind w:left="0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/>
      <w:bookmarkStart w:id="5" w:name="_Hlk155797107"/>
      <w:r>
        <w:rPr>
          <w:rFonts w:ascii="Times New Roman" w:hAnsi="Times New Roman" w:cs="Times New Roman"/>
          <w:b/>
          <w:sz w:val="24"/>
          <w:szCs w:val="24"/>
        </w:rPr>
        <w:t xml:space="preserve">Рынок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left="49" w:firstLine="801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введено в эксплуатацию 23000 кв. м. жилья (в 2023 году - 18000 кв.м.). Ро</w:t>
      </w:r>
      <w:r>
        <w:rPr>
          <w:rFonts w:ascii="Times New Roman" w:hAnsi="Times New Roman" w:cs="Times New Roman"/>
          <w:sz w:val="24"/>
          <w:szCs w:val="24"/>
        </w:rPr>
        <w:t xml:space="preserve">ст объёмов ввода индивидуальных домов связан с упрощением процедуры регистрации ранее построенных домов, получения разрешительной документации на ввод в эксплуатацию индивидуального дома, включая дома на садовых участках и подачи заявлений (уведомлений) в </w:t>
      </w:r>
      <w:r>
        <w:rPr>
          <w:rFonts w:ascii="Times New Roman" w:hAnsi="Times New Roman" w:cs="Times New Roman"/>
          <w:sz w:val="24"/>
          <w:szCs w:val="24"/>
        </w:rPr>
        <w:t xml:space="preserve">электронном виде. Жалоб на работу органи</w:t>
      </w:r>
      <w:r>
        <w:rPr>
          <w:rFonts w:ascii="Times New Roman" w:hAnsi="Times New Roman" w:cs="Times New Roman"/>
          <w:sz w:val="24"/>
          <w:szCs w:val="24"/>
        </w:rPr>
        <w:t xml:space="preserve">заций, оказывающих услуги на рынке жилищного строительства, не поступало. Дальнейшее развитие конкуренции на рынке жилищного строительства 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 w:firstLine="801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2024 году на территории станицы Ленинградской введены в эксплуатацию 27 жилых домов блокированной жилой застройки.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hAnsi="Times New Roman" w:cs="Times New Roman"/>
          <w:b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sz w:val="24"/>
          <w:szCs w:val="24"/>
          <w:highlight w:val="green"/>
        </w:rPr>
      </w:r>
      <w:r>
        <w:rPr>
          <w:rFonts w:ascii="Times New Roman" w:hAnsi="Times New Roman" w:cs="Times New Roman"/>
          <w:b/>
          <w:sz w:val="24"/>
          <w:szCs w:val="24"/>
          <w:highlight w:val="green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строительства объектов капитального строительства,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зa</w:t>
      </w:r>
      <w:r>
        <w:rPr>
          <w:rFonts w:ascii="Times New Roman" w:hAnsi="Times New Roman" w:cs="Times New Roman"/>
          <w:b/>
          <w:sz w:val="24"/>
          <w:szCs w:val="24"/>
        </w:rPr>
        <w:t xml:space="preserve"> исключением жилищного и дорожного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на территории муниципального образования Ленинградский район введено в эксплуатацию 5 зданий нежилого назначения: сельскохозяйственные объекты и объекты торгового назначений.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2024 год выдано: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- 33 разрешений на ввод в эксплуатацию объектов капитального строительства;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  <w:sz w:val="24"/>
          <w:szCs w:val="24"/>
        </w:rPr>
        <w:t xml:space="preserve">- 30 разрешений на строительство объектов капитального строительства. Источниками финансирования объектов капитального строительства являются капитальные вложения (инвестиции) хозяйствующих субъектов. Дальнейшем развитию</w:t>
      </w:r>
      <w:r>
        <w:rPr>
          <w:rFonts w:ascii="Times New Roman" w:hAnsi="Times New Roman" w:cs="Times New Roman"/>
          <w:sz w:val="24"/>
          <w:szCs w:val="24"/>
        </w:rPr>
        <w:t xml:space="preserve"> конкуренции на рынке строительства объектов капитального строительства, за исключением жилищного и дорожного строительства, буде способствовать повышение качественного уровня оказываемых услуг и удовлетворению запросов хозяйствующих субъектов и населения.</w:t>
      </w:r>
      <w:bookmarkEnd w:id="5"/>
      <w:r>
        <w:rPr>
          <w:rFonts w:ascii="Times New Roman" w:hAnsi="Times New Roman" w:cs="Times New Roman"/>
          <w:sz w:val="24"/>
          <w:szCs w:val="24"/>
          <w:highlight w:val="green"/>
        </w:rPr>
      </w:r>
      <w:r>
        <w:rPr>
          <w:rFonts w:ascii="Times New Roman" w:hAnsi="Times New Roman" w:cs="Times New Roman"/>
          <w:sz w:val="24"/>
          <w:szCs w:val="24"/>
          <w:highlight w:val="green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дорожной деятельности (за исключением проектирования)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рынке дорожной деятельности действуют 4 хозяйствующих субъектов частной формы собственности различных организационно-правовых форм, в том числе, в общем </w:t>
      </w:r>
      <w:r>
        <w:rPr>
          <w:rFonts w:ascii="Times New Roman" w:hAnsi="Times New Roman" w:cs="Times New Roman"/>
          <w:sz w:val="24"/>
          <w:szCs w:val="24"/>
        </w:rPr>
        <w:t xml:space="preserve">объеме</w:t>
      </w:r>
      <w:r>
        <w:rPr>
          <w:rFonts w:ascii="Times New Roman" w:hAnsi="Times New Roman" w:cs="Times New Roman"/>
          <w:sz w:val="24"/>
          <w:szCs w:val="24"/>
        </w:rPr>
        <w:t xml:space="preserve"> работ по ремонту и строительству дорог местного значения на территории района более 60,0 % выполняется НАО ДРСУ «Ленинградская».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барьеры для дальнейшего входа на рынок субъектов малого и среднего предпринимательства отсутствуют. Жалоб на работу организаций, оказывающих услуги на данном рынке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 поступало.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Дальнейшее развитие конкуренции на рынке дорожной деятельности, будет способствовать повышению качественного уровня оказываемых услуг и удовлетворению запросов хозяйствующих субъектов и населения.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5"/>
        <w:numPr>
          <w:ilvl w:val="0"/>
          <w:numId w:val="2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Сфера агропромышленного комплекса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мониторинга состояния и развития конкурентной среды на рынках товаров и услуг, потребители дали оценку каче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ства товаров и услуг, а также состояния конкуренции в сфере агропромышленного комплекса, которая состоит из следующих рынков: рынок племенного животноводства, рынок семеноводства, рынок товарной аквакультуры, рынок реализации сельскохозяйственной продукции</w:t>
      </w:r>
      <w:r>
        <w:rPr>
          <w:rFonts w:ascii="Times New Roman" w:hAnsi="Times New Roman" w:cs="Times New Roman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агропромышленного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района. Так </w:t>
      </w:r>
      <w:r>
        <w:rPr>
          <w:rFonts w:ascii="Times New Roman" w:hAnsi="Times New Roman" w:cs="Times New Roman"/>
          <w:sz w:val="24"/>
          <w:szCs w:val="24"/>
        </w:rPr>
        <w:t xml:space="preserve">65,8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районе достаточно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611370" cy="715618"/>
            <wp:effectExtent l="0" t="0" r="17780" b="8890"/>
            <wp:docPr id="13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34,6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затруднились ответить о</w:t>
      </w:r>
      <w:r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услуг в сфере агропромышленного комплекса по району.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758690" cy="898497"/>
            <wp:effectExtent l="0" t="0" r="3810" b="16510"/>
            <wp:docPr id="14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/>
      <w:bookmarkStart w:id="6" w:name="_Hlk155797243"/>
      <w:r>
        <w:rPr>
          <w:rFonts w:ascii="Times New Roman" w:hAnsi="Times New Roman" w:cs="Times New Roman"/>
          <w:b/>
          <w:sz w:val="24"/>
          <w:szCs w:val="24"/>
        </w:rPr>
        <w:t xml:space="preserve">Рынок племенного животноводства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right="-31" w:firstLine="731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 1 января 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г.  в Государственном племенном регистре из Ленинградского муниципального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округа  нет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зарегистрированных племенных организаций.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pacing w:val="4"/>
          <w:sz w:val="24"/>
          <w:szCs w:val="24"/>
        </w:rPr>
      </w:pPr>
      <w:r>
        <w:rPr>
          <w:rFonts w:ascii="Times New Roman" w:hAnsi="Times New Roman" w:eastAsia="Calibri" w:cs="Times New Roman"/>
          <w:spacing w:val="4"/>
          <w:sz w:val="24"/>
          <w:szCs w:val="24"/>
        </w:rPr>
        <w:t xml:space="preserve">Для повышения генетического 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  <w:t xml:space="preserve">потенциала  и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  <w:t xml:space="preserve"> увеличения молочной продуктивности на молочно-товарную ферму в Ленинградском муниципальном  округе в 2024 году  было завезено 566 голов племенных телок и нетелей.</w:t>
      </w:r>
      <w:r>
        <w:rPr>
          <w:rFonts w:ascii="Times New Roman" w:hAnsi="Times New Roman" w:eastAsia="Calibri" w:cs="Times New Roman"/>
          <w:spacing w:val="4"/>
          <w:sz w:val="24"/>
          <w:szCs w:val="24"/>
        </w:rPr>
      </w:r>
      <w:r>
        <w:rPr>
          <w:rFonts w:ascii="Times New Roman" w:hAnsi="Times New Roman" w:eastAsia="Calibri" w:cs="Times New Roman"/>
          <w:spacing w:val="4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Развитие данного рынка на территории муниципального округа осуществимо только </w:t>
      </w:r>
      <w:r>
        <w:rPr>
          <w:rFonts w:ascii="Times New Roman" w:hAnsi="Times New Roman" w:cs="Times New Roman"/>
          <w:sz w:val="24"/>
          <w:szCs w:val="24"/>
        </w:rPr>
        <w:t xml:space="preserve">при оказании государственной поддержки племенного животноводства.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Административные барьеры для дальнейшего входа на рынок субъектов малого и среднего предпринимательства отсутствуют.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семеноводства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31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Рынок семеноводства Ленинградского муниципального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округа  представлен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сельскохозяйственными товаропроизводителями, ведущими профессиональную деятельность по производству сортов ряда сельскохозяйственных культур. По состоянию на 1 января 2025 г., согласно данным ФГБУ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Россельхозцентр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 в реестр семеноводческих хозяйств от Ленинградского муниципального округа включено 6 организаций. Также на территории района осуществляет деятельность научное учреждение Северо-Кубанская сельскохозяйственная опытна станция - филиал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ФГБНУ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НЦЗ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им.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П.П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Лукьяненко».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Объемы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производства семян, производимых в Ленинградском муниципальном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округе  достаточны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для планомерного сортообновления зерновых колосовых культур в районе.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31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Семенами отечественной селекции в Ленинградском муниципальном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округе  засевается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порядка 100 % площадей озимых зерновых культур,  45 % - кукурузы и порядка 38 % - подсолнечника.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23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</w:t>
      </w:r>
      <w:r>
        <w:rPr>
          <w:rFonts w:ascii="Times New Roman" w:hAnsi="Times New Roman" w:cs="Times New Roman"/>
          <w:sz w:val="24"/>
          <w:szCs w:val="24"/>
        </w:rPr>
        <w:t xml:space="preserve">арьеры для дальнейшего входа на рынок семеноводства субъектов малого и среднего предпринимательства отсутствуют. Дальнейшее развитие конкуренции на рынке семеноводства будет способствовать наращиванию производства важнейших видов продукции растениеводства.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товарной аквакультуры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tabs>
          <w:tab w:val="left" w:pos="236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2024 году на рынке товарной аквакультуры осуществляли деятельность 27 хозяйствующих субъек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тов, которые для выращивания товарной рыбы использовали 810 гектар водной глади.  Все участники товарного рынка - представители частного бизнеса. Объем улова объектов аквакультуры в 2023 году составил 78,06 тонн, в 2024 году – 99 тонн. С целью наращивания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объема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производства рыбы, произведено зарыбление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водоемов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выпущено 9 тонн рыбопосадочного материала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2023  год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-13,9 тонн).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426"/>
        <w:jc w:val="both"/>
        <w:spacing w:after="0" w:line="240" w:lineRule="auto"/>
        <w:tabs>
          <w:tab w:val="left" w:pos="236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барьеры для входа на рынок частного бизнеса отсутствуют.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рамках реализации системных мероприятий, направленных на развитие конкуренции на рынке аквакультуры, всем желающим предоставляются торговые места на ярмарке выходного дня, проводимой в муниципальном округе.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Также необходимо продолжить информировать предприятия аквакультуры об оказываемых им мерах государственной поддержки.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реализации сельскохозяйственной продукции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3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Одним из приоритетных направлений развития агропромышленного комплекса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Ленинградского района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остается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развитие малых форм хозяйствования. Весомый вклад в продовольственную корзину вносят субъекты малых форм хозяйствования. Ими производится 29% районного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объема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молока, 35% мяса, 99% овощей, 100 %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объемов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картофеля и виноград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а. В малых формах хозяйствования района содержится 37 % поголовья крупного рогатого скота, в том числе коров- 36,9%, 100% мелкого рогатого скота, 16,4% поголовья птицы. Опираясь на оказываемую господдержку, малые формы хозяйствования продолжают наращивать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объемы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производства сельхозпродукции. На их долю в общем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объеме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валового производства сельхозпродукции приходится 34,3%.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Административные барьеры для дальнейшего входа на рынок реализации сельскохозяйственной продукции отсутствуют.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3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рамках реализации системных мероприятий, направленных на развитие конкуре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нции на рынке реализации сельскохозяйственной продукции, в муниципальном образовании проводится еженедельная сельскохозяйственная ярмарка выходного дня, в рамках которой все желающие представители малых форм хозяйствования могут реализовать свою продукцию.</w:t>
      </w:r>
      <w:bookmarkEnd w:id="6"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5"/>
        <w:numPr>
          <w:ilvl w:val="0"/>
          <w:numId w:val="2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Сфера промышленности и добычи полезных ископаемых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сфере промышленности о добычи полезных ископаемых, которая состоит из следующих рынков: рынок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легкой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промышленности</w:t>
      </w:r>
      <w:r>
        <w:rPr>
          <w:rFonts w:ascii="Times New Roman" w:hAnsi="Times New Roman" w:cs="Times New Roman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промышленности и добычи полезных ископаемых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района, так </w:t>
      </w:r>
      <w:r>
        <w:rPr>
          <w:rFonts w:ascii="Times New Roman" w:hAnsi="Times New Roman" w:cs="Times New Roman"/>
          <w:sz w:val="24"/>
          <w:szCs w:val="24"/>
        </w:rPr>
        <w:t xml:space="preserve">40,2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районе достаточно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620895" cy="811033"/>
            <wp:effectExtent l="0" t="0" r="8255" b="8255"/>
            <wp:docPr id="15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51,4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затруднились ответить о</w:t>
      </w:r>
      <w:r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услуг в сфере промышленности и добычи полезных ископаемых по району.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896485" cy="882595"/>
            <wp:effectExtent l="0" t="0" r="18415" b="13335"/>
            <wp:docPr id="16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</w:t>
      </w:r>
      <w:r>
        <w:rPr>
          <w:rFonts w:ascii="Times New Roman" w:hAnsi="Times New Roman" w:cs="Times New Roman"/>
          <w:b/>
          <w:sz w:val="24"/>
          <w:szCs w:val="24"/>
        </w:rPr>
        <w:t xml:space="preserve">легкой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промышленности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91"/>
        <w:ind w:right="-1" w:firstLine="567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На территории муниципального образования Ленинградский район </w:t>
      </w:r>
      <w:r>
        <w:rPr>
          <w:sz w:val="24"/>
          <w:szCs w:val="24"/>
        </w:rPr>
        <w:t xml:space="preserve">легкая</w:t>
      </w:r>
      <w:r>
        <w:rPr>
          <w:sz w:val="24"/>
          <w:szCs w:val="24"/>
        </w:rPr>
        <w:t xml:space="preserve"> промышленность представлена хозяйствующими субъектами частной </w:t>
      </w:r>
      <w:r>
        <w:rPr>
          <w:sz w:val="24"/>
          <w:szCs w:val="24"/>
        </w:rPr>
        <w:t xml:space="preserve">формы собственности: юридическими лицами (ОП АО «БТК групп» в ст. Ленинградской», ООО «Глория-Альянс»), 7 индивидуальными предпринимателями, а также самозанятыми жителями Ленинградского района, которые ведут свою деятельность в сфере лёгкой промышленности.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ind w:right="-1" w:firstLine="567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 xml:space="preserve">Административные барьеры для входа на рынок частного бизнеса отсутствуют. Проблемы развития рынка связаны с высокой насыщенностью </w:t>
      </w:r>
      <w:r>
        <w:rPr>
          <w:sz w:val="24"/>
          <w:szCs w:val="24"/>
        </w:rPr>
        <w:t xml:space="preserve">дешевыми</w:t>
      </w:r>
      <w:r>
        <w:rPr>
          <w:sz w:val="24"/>
          <w:szCs w:val="24"/>
        </w:rPr>
        <w:t xml:space="preserve"> товарами «серого импорта» и «теневого» отечественного производства, а также с отсутствием у предприятий малого бизнеса необходимых финансовых ресурсов для организации конкурентоспособного производства товаров </w:t>
      </w:r>
      <w:r>
        <w:rPr>
          <w:sz w:val="24"/>
          <w:szCs w:val="24"/>
        </w:rPr>
        <w:t xml:space="preserve">легкой</w:t>
      </w:r>
      <w:r>
        <w:rPr>
          <w:sz w:val="24"/>
          <w:szCs w:val="24"/>
        </w:rPr>
        <w:t xml:space="preserve"> промышленности. Учитывая стратегический приоритет развития отрасли как составляющей кластера «умной» промышленности</w:t>
      </w:r>
      <w:r>
        <w:rPr>
          <w:rFonts w:eastAsiaTheme="minorHAnsi"/>
          <w:sz w:val="24"/>
          <w:szCs w:val="24"/>
        </w:rPr>
        <w:t xml:space="preserve">, задачами по развитию конкуренции являются: реализация мер государственной финансовой поддержки предприятий </w:t>
      </w:r>
      <w:r>
        <w:rPr>
          <w:rFonts w:eastAsiaTheme="minorHAnsi"/>
          <w:sz w:val="24"/>
          <w:szCs w:val="24"/>
        </w:rPr>
        <w:t xml:space="preserve">легкой</w:t>
      </w:r>
      <w:r>
        <w:rPr>
          <w:rFonts w:eastAsiaTheme="minorHAnsi"/>
          <w:sz w:val="24"/>
          <w:szCs w:val="24"/>
        </w:rPr>
        <w:t xml:space="preserve"> промышленности; содействие в продвижении отечественных товаров на рынке; противодействие незаконному обороту товаров </w:t>
      </w:r>
      <w:r>
        <w:rPr>
          <w:rFonts w:eastAsiaTheme="minorHAnsi"/>
          <w:sz w:val="24"/>
          <w:szCs w:val="24"/>
        </w:rPr>
        <w:t xml:space="preserve">легкой</w:t>
      </w:r>
      <w:r>
        <w:rPr>
          <w:rFonts w:eastAsiaTheme="minorHAnsi"/>
          <w:sz w:val="24"/>
          <w:szCs w:val="24"/>
        </w:rPr>
        <w:t xml:space="preserve"> промышленности.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pStyle w:val="891"/>
        <w:ind w:right="-1" w:firstLine="567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pStyle w:val="885"/>
        <w:numPr>
          <w:ilvl w:val="0"/>
          <w:numId w:val="2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Сфера торговли и услуг населению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мониторинга состояния и развития конкурентной среды на рынках товаров и услуг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, потребители дали оценку качества товаров и услуг, а также состояния конкуренции в сфере торговли и услуг населению, которая состоит из следующих рынков: рынок строительных материалов, рынок финансовых услуг, рынок нестационарных и мобильных торговых мест</w:t>
      </w:r>
      <w:r>
        <w:rPr>
          <w:rFonts w:ascii="Times New Roman" w:hAnsi="Times New Roman" w:cs="Times New Roman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торговли и услуг населению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района, так </w:t>
      </w:r>
      <w:r>
        <w:rPr>
          <w:rFonts w:ascii="Times New Roman" w:hAnsi="Times New Roman" w:cs="Times New Roman"/>
          <w:sz w:val="24"/>
          <w:szCs w:val="24"/>
        </w:rPr>
        <w:t xml:space="preserve">78,3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районе достаточно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524375" cy="771276"/>
            <wp:effectExtent l="0" t="0" r="9525" b="10160"/>
            <wp:docPr id="17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35,3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 уровень</w:t>
      </w:r>
      <w:r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услуг в сфере торговли и услуг населению по району</w:t>
      </w:r>
      <w:r>
        <w:rPr>
          <w:rFonts w:ascii="Times New Roman" w:hAnsi="Times New Roman" w:cs="Times New Roman"/>
          <w:sz w:val="24"/>
          <w:szCs w:val="24"/>
        </w:rPr>
        <w:t xml:space="preserve"> повысился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705985" cy="834887"/>
            <wp:effectExtent l="0" t="0" r="18415" b="3810"/>
            <wp:docPr id="18" name="Диаграмма 2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строительных материалов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На территории района осуществляют свою деятельность 4 хозяйствующих субъекта частной формы собственности по производству кирпича. Годовой объем производства кирпича строительного в муниципальном образовании Ленинградский район составляет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районе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3,0 млн. шт.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Также действует одно микропредприятие частной формы собственности ООО «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Бетонсервис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 по производству бетона.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Административные барьеры для дальнейшего входа на рынок отсутствуют. Основной задачей по развитию конкуренции на рынке строительных материалов является обеспечение добросовестной конкуренции и сохранение сложившегося уровня конкурентных отношений.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финансовых услуг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850"/>
        <w:jc w:val="both"/>
        <w:spacing w:after="0" w:line="240" w:lineRule="auto"/>
        <w:tabs>
          <w:tab w:val="left" w:pos="82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Фина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нсовый рынок Краснодарского края является неотъемлемой частью региональной экономики, обеспечивающий потребности предприятий производственной сферы и населения в кредитных ресурсах, страховую защиту имущественных интересов юридических и физических лиц, под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держание активности хозяйствующих субъектов в части применения инструментов фондового рынка. В Ленинградском округе осуществляют деятельность 6 кредитных организаций (Российский национальный коммерческий банк (Публичное Акционерное Общество), Коммерческий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  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Кубань-Кредит», ПАО «Сбербанк», ПАО КБ «Центр-Инвест», АО «Российский Сельскохозяйственный банк», ПАО «Почта банк».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850"/>
        <w:jc w:val="both"/>
        <w:spacing w:after="0" w:line="240" w:lineRule="auto"/>
        <w:tabs>
          <w:tab w:val="left" w:pos="82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Страховую деятельность в Ленинградском округе ведут 5 страховых компании; ООО «Росгосстрах», ООО «ВТБ МС», ОАО «Ресо - 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арантия», ООО «Верна», «ВСК».  Административные барьеры для входа на рынок финансовых услуг частных финансовых организаций отсутствуют. В 2024 году проведено социологическое исследование среди городских и сельских жителей в различных возрастных категориях.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850"/>
        <w:jc w:val="both"/>
        <w:spacing w:after="0" w:line="240" w:lineRule="auto"/>
        <w:tabs>
          <w:tab w:val="left" w:pos="82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Респонденты отвечали на вопросы, касающиеся ли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чного финансового планирования, доступности финансовых услуг, безопасности. Уровень финансовой грамотности населения в 2024 году составил 82,5%, на 2,47% выше, чем в 2023 году. В 2025 году будет продолжена работа по повышению уровня финансовой грамотности.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en-US"/>
          <w14:ligatures w14:val="standardContextual"/>
        </w:rPr>
        <w:t xml:space="preserve">Административные барьеры для входа на рынок финансовых услуг частных финансовых организаций отсутствуют. </w:t>
      </w:r>
      <w:r>
        <w:rPr>
          <w:rFonts w:ascii="Times New Roman" w:hAnsi="Times New Roman" w:cs="Times New Roman"/>
          <w:sz w:val="24"/>
          <w:szCs w:val="24"/>
          <w14:ligatures w14:val="standardContextual"/>
        </w:rPr>
      </w:r>
      <w:r>
        <w:rPr>
          <w:rFonts w:ascii="Times New Roman" w:hAnsi="Times New Roman" w:cs="Times New Roman"/>
          <w:sz w:val="24"/>
          <w:szCs w:val="24"/>
          <w14:ligatures w14:val="standardContextual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HAnsi"/>
          <w:sz w:val="24"/>
          <w:szCs w:val="24"/>
          <w:highlight w:val="green"/>
          <w14:ligatures w14:val="standardContextual"/>
        </w:rPr>
      </w:pPr>
      <w:r>
        <w:rPr>
          <w:rFonts w:ascii="Times New Roman" w:hAnsi="Times New Roman" w:cs="Times New Roman" w:eastAsiaTheme="minorHAnsi"/>
          <w:sz w:val="24"/>
          <w:szCs w:val="24"/>
          <w:highlight w:val="green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:highlight w:val="green"/>
          <w14:ligatures w14:val="standardContextual"/>
        </w:rPr>
      </w:r>
      <w:r>
        <w:rPr>
          <w:rFonts w:ascii="Times New Roman" w:hAnsi="Times New Roman" w:cs="Times New Roman" w:eastAsiaTheme="minorHAnsi"/>
          <w:sz w:val="24"/>
          <w:szCs w:val="24"/>
          <w:highlight w:val="green"/>
          <w14:ligatures w14:val="standardContextual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Рынок нестационарных и мобильных торговых мест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2024 году на территории Ленинградского муниципального округа осуществляли свою деятельность 11 ярмарок, это: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 ярмарка по продаже декоративных и домашних птиц и животных на 170 торговых мест.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 ярмарки на территории торгового комплекса ООО «Форум» на 300 торговых мест каждая: ярмарка «выходного дня» и универсальная ярмарка.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 ярмарок на территории сельских поселений (Крыловское,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Новоплатнировское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Новоуманское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Куликовское, Уманское сельские поселения) на 66 мест;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 ярмарк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(социальный ряд) на территории, прилегающей к автомобильной дороге по ул. Ярмарочная (в районе кафе «Каприз») на 7 мест, и на территории, прилегающей к автомобильной дороге по ул.Ленина, напротив № 230, в станице Ленинградской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Административные бар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ьеры для дальнейшего выхода частного предпринимательства на анализируемый товарных рынок отсутствуют.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numPr>
          <w:ilvl w:val="0"/>
          <w:numId w:val="7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Сфера спорта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монитор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сфере спорта, которая состоит из следующих рынков: рынок услуг в области фитнеса, физкультуры и спорта</w:t>
      </w:r>
      <w:r>
        <w:rPr>
          <w:rFonts w:ascii="Times New Roman" w:hAnsi="Times New Roman" w:cs="Times New Roman"/>
          <w:sz w:val="24"/>
          <w:szCs w:val="24"/>
        </w:rPr>
        <w:t xml:space="preserve">: население района,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сфере спорта</w:t>
      </w:r>
      <w:r>
        <w:rPr>
          <w:rFonts w:ascii="Times New Roman" w:hAnsi="Times New Roman" w:cs="Times New Roman"/>
          <w:sz w:val="24"/>
          <w:szCs w:val="24"/>
        </w:rPr>
        <w:t xml:space="preserve">, оказываемых на территории нашего района, так </w:t>
      </w:r>
      <w:r>
        <w:rPr>
          <w:rFonts w:ascii="Times New Roman" w:hAnsi="Times New Roman" w:cs="Times New Roman"/>
          <w:sz w:val="24"/>
          <w:szCs w:val="24"/>
        </w:rPr>
        <w:t xml:space="preserve">72,1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районе достаточно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436469" cy="755015"/>
            <wp:effectExtent l="0" t="0" r="2540" b="6985"/>
            <wp:docPr id="19" name="Диаграмма 2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42,7</w:t>
      </w:r>
      <w:r>
        <w:rPr>
          <w:rFonts w:ascii="Times New Roman" w:hAnsi="Times New Roman" w:cs="Times New Roman"/>
          <w:sz w:val="24"/>
          <w:szCs w:val="24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</w:rPr>
        <w:t xml:space="preserve">считают, что уровень </w:t>
      </w:r>
      <w:r>
        <w:rPr>
          <w:rFonts w:ascii="Times New Roman" w:hAnsi="Times New Roman" w:cs="Times New Roman"/>
          <w:sz w:val="24"/>
          <w:szCs w:val="24"/>
        </w:rPr>
        <w:t xml:space="preserve">качеств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услуг в сфере спорта по району</w:t>
      </w:r>
      <w:r>
        <w:rPr>
          <w:rFonts w:ascii="Times New Roman" w:hAnsi="Times New Roman" w:cs="Times New Roman"/>
          <w:sz w:val="24"/>
          <w:szCs w:val="24"/>
        </w:rPr>
        <w:t xml:space="preserve"> повысился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802588" cy="834390"/>
            <wp:effectExtent l="0" t="0" r="17145" b="3810"/>
            <wp:docPr id="20" name="Диаграмма 29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ind w:left="45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numPr>
          <w:ilvl w:val="2"/>
          <w:numId w:val="6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</w:rPr>
      </w:pPr>
      <w:r/>
      <w:bookmarkStart w:id="7" w:name="_Hlk155797270"/>
      <w:r>
        <w:rPr>
          <w:rFonts w:ascii="Times New Roman" w:hAnsi="Times New Roman" w:cs="Times New Roman"/>
          <w:b/>
          <w:sz w:val="24"/>
          <w:szCs w:val="24"/>
        </w:rPr>
        <w:t xml:space="preserve">Рынок услуг в области фитнеса, физкультуры и спорта </w:t>
      </w:r>
      <w:bookmarkEnd w:id="7"/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firstLine="708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 территории района действует 4 спортивные школы отрасли физической культуры и спорта. В каждом поселении есть физкультурно-спортивные клубы, которые являются постоянными участниками спортивных мероприятий района.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 территории муниципального образования Ленинградский район функционируют 4 спортивные школы, численность в которых составляет 2626 человек от общего количества детей от 5 до 20 лет.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Всего систематически занимающихся физической культурой и спортом </w:t>
      </w:r>
      <w:bookmarkStart w:id="8" w:name="undefined"/>
      <w:r/>
      <w:bookmarkEnd w:id="8"/>
      <w:r>
        <w:rPr>
          <w:rFonts w:ascii="Times New Roman" w:hAnsi="Times New Roman" w:eastAsia="Times New Roman" w:cs="Times New Roman"/>
          <w:sz w:val="24"/>
          <w:szCs w:val="24"/>
        </w:rPr>
        <w:t xml:space="preserve">35939 человек (66% от общей численности населения от 3 до 79 лет), 981 инвалид (в 2022 г -861 человек). 1262 чел. имеют спортивные разряды из них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1спортивный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-10 чел., КМС-24 чел., МС-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3чел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Ленинградском районе расположено 105 спортивных объекта 2 стадиона (1 – Ленинградская, 1- Крыловская), 1 гребная база и 1 городошный корт, 2 плавательных бассейна,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52 плоскостных спортивных сооружений из них (48 муниципальных, 4 субъекта), футбольные поля, тир,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варкаут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площадки, универсальные игровые площадки, уличные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тренажеры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Всего единовременная пропускная способность всех спортивных сооружений района – 3995 человек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numPr>
          <w:ilvl w:val="1"/>
          <w:numId w:val="1"/>
        </w:num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мониторинга </w:t>
      </w:r>
      <w:r>
        <w:rPr>
          <w:rFonts w:ascii="Times New Roman" w:hAnsi="Times New Roman" w:cs="Times New Roman"/>
          <w:b/>
          <w:sz w:val="24"/>
          <w:szCs w:val="24"/>
        </w:rPr>
        <w:t xml:space="preserve">удовлетворенности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потребителей качеством товаров, работ и услуг в сферах экономики региона и состоянием ценовой конкуренции.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left="14" w:right="29" w:firstLine="720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распоряжением Правительства Российской Федерации от 17 апреля 2019 г. № 768-р, министерством экономики Краснодарского края </w:t>
      </w:r>
      <w:r>
        <w:rPr>
          <w:rFonts w:ascii="Times New Roman" w:hAnsi="Times New Roman" w:cs="Times New Roman"/>
          <w:sz w:val="24"/>
          <w:szCs w:val="24"/>
        </w:rPr>
        <w:t xml:space="preserve">проведен</w:t>
      </w:r>
      <w:r>
        <w:rPr>
          <w:rFonts w:ascii="Times New Roman" w:hAnsi="Times New Roman" w:cs="Times New Roman"/>
          <w:sz w:val="24"/>
          <w:szCs w:val="24"/>
        </w:rPr>
        <w:t xml:space="preserve"> ежегодный м</w:t>
      </w:r>
      <w:r>
        <w:rPr>
          <w:rFonts w:ascii="Times New Roman" w:hAnsi="Times New Roman" w:cs="Times New Roman"/>
          <w:sz w:val="24"/>
          <w:szCs w:val="24"/>
        </w:rPr>
        <w:t xml:space="preserve">ониторинг состояния и развития конкуренции на товарных Краснодарские края. В целях улучшения качества и достоверности сведений о состоянии конкуренции на товарных рынках Краснодарского края, данный мониторинг проводился в период с 1 ноября по 30 ноября 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0"/>
        <w:ind w:firstLine="567"/>
        <w:jc w:val="both"/>
        <w:spacing w:before="0" w:beforeAutospacing="0" w:after="0" w:afterAutospacing="0"/>
        <w:tabs>
          <w:tab w:val="left" w:pos="-142" w:leader="none"/>
        </w:tabs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Опрошенные респонденты оценили </w:t>
      </w:r>
      <w:r>
        <w:rPr>
          <w:rFonts w:eastAsia="Calibri"/>
          <w:bCs/>
          <w:lang w:eastAsia="en-US"/>
        </w:rPr>
        <w:t xml:space="preserve">удовлетворенность</w:t>
      </w:r>
      <w:r>
        <w:rPr>
          <w:rFonts w:eastAsia="Calibri"/>
          <w:bCs/>
          <w:lang w:eastAsia="en-US"/>
        </w:rPr>
        <w:t xml:space="preserve"> характеристиками товаров и услуг по уровню качества, предоставляемых населению в разрезе рынков следующим образом:</w:t>
      </w:r>
      <w:r>
        <w:rPr>
          <w:rFonts w:eastAsia="Calibri"/>
          <w:bCs/>
          <w:lang w:eastAsia="en-US"/>
        </w:rPr>
      </w:r>
      <w:r>
        <w:rPr>
          <w:rFonts w:eastAsia="Calibri"/>
          <w:bCs/>
          <w:lang w:eastAsia="en-US"/>
        </w:rPr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1276"/>
        <w:gridCol w:w="1418"/>
        <w:gridCol w:w="1417"/>
        <w:gridCol w:w="1843"/>
      </w:tblGrid>
      <w:tr>
        <w:tblPrEx/>
        <w:trPr>
          <w:trHeight w:val="799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рынка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качества снизился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качества повысился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качества не изменился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Затрудняюсь ответить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сфера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и добыча полезных ископаемых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и услуги населению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Санаторно-курортный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0"/>
        <w:ind w:firstLine="567"/>
        <w:jc w:val="both"/>
        <w:spacing w:before="0" w:beforeAutospacing="0" w:after="0" w:afterAutospacing="0"/>
        <w:tabs>
          <w:tab w:val="left" w:pos="-142" w:leader="none"/>
        </w:tabs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Опрошенные респонденты оценили уровень цен на товары и услуги, предоставляемых населению в разрезе рынков следующим образом:</w:t>
      </w:r>
      <w:r>
        <w:rPr>
          <w:rFonts w:eastAsia="Calibri"/>
          <w:bCs/>
          <w:lang w:eastAsia="en-US"/>
        </w:rPr>
      </w:r>
      <w:r>
        <w:rPr>
          <w:rFonts w:eastAsia="Calibri"/>
          <w:bCs/>
          <w:lang w:eastAsia="en-US"/>
        </w:rPr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1276"/>
        <w:gridCol w:w="1418"/>
        <w:gridCol w:w="1417"/>
        <w:gridCol w:w="1843"/>
      </w:tblGrid>
      <w:tr>
        <w:tblPrEx/>
        <w:trPr>
          <w:trHeight w:val="895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рынка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цен снизился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цен увеличился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цен не изменился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Затрудняюсь ответить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сфера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8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и добыча полезных ископаемых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и услуги населению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Санаторно-курортный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567"/>
        <w:jc w:val="both"/>
        <w:spacing w:after="0" w:line="240" w:lineRule="auto"/>
        <w:tabs>
          <w:tab w:val="left" w:pos="-426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85"/>
        <w:numPr>
          <w:ilvl w:val="1"/>
          <w:numId w:val="1"/>
        </w:numPr>
        <w:ind w:left="0"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Удовлетворенность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субъектов предпринимательской деятельности и потребителе</w:t>
      </w:r>
      <w:r>
        <w:rPr>
          <w:rFonts w:ascii="Times New Roman" w:hAnsi="Times New Roman" w:cs="Times New Roman"/>
          <w:b/>
          <w:sz w:val="24"/>
          <w:szCs w:val="24"/>
        </w:rPr>
        <w:t xml:space="preserve">й товаров и услуг качеством официальной информации о состоянии конкурентной среды на товарных рынках региона и деятельности по содействию развитию конкуренции, размещаемой администрацией Краснодарского края и муниципального образования Ленинградский район.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5"/>
        <w:ind w:left="45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90"/>
        <w:ind w:right="-5" w:firstLine="567"/>
        <w:jc w:val="both"/>
        <w:spacing w:before="0" w:beforeAutospacing="0" w:after="0" w:afterAutospacing="0"/>
      </w:pPr>
      <w:r>
        <w:t xml:space="preserve">Субъектами предпринимательской де</w:t>
      </w:r>
      <w:r>
        <w:t xml:space="preserve">ятельности была дана оценка официальной информации о состоянии конкурентной среды на рынках товаров и услуг муниципального образования Ленинградский район и деятельности по содействию развитию конкуренции в муниципальном образовании Ленинградский район по </w:t>
      </w:r>
      <w:r>
        <w:t xml:space="preserve">трем</w:t>
      </w:r>
      <w:r>
        <w:t xml:space="preserve"> основным критериям: уровень доступности, уровень понятности, удобство получения. Предметом оценивания являлась информация, </w:t>
      </w:r>
      <w:r>
        <w:t xml:space="preserve">размещенная</w:t>
      </w:r>
      <w:r>
        <w:t xml:space="preserve"> Уполномоченными органами Краснодарского края и администрации муниципального образования Ленинградский район. </w:t>
      </w:r>
      <w:r/>
    </w:p>
    <w:tbl>
      <w:tblPr>
        <w:tblStyle w:val="886"/>
        <w:tblW w:w="9634" w:type="dxa"/>
        <w:tblLayout w:type="fixed"/>
        <w:tblLook w:val="04A0" w:firstRow="1" w:lastRow="0" w:firstColumn="1" w:lastColumn="0" w:noHBand="0" w:noVBand="1"/>
      </w:tblPr>
      <w:tblGrid>
        <w:gridCol w:w="3823"/>
        <w:gridCol w:w="2551"/>
        <w:gridCol w:w="1701"/>
        <w:gridCol w:w="1559"/>
      </w:tblGrid>
      <w:tr>
        <w:tblPrEx/>
        <w:trPr>
          <w:trHeight w:val="113"/>
        </w:trPr>
        <w:tc>
          <w:tcPr>
            <w:tcW w:w="382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Затрудняюсь ответить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W w:w="382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доступности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W w:w="382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понятности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W w:w="382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Удобство 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85"/>
        <w:numPr>
          <w:ilvl w:val="1"/>
          <w:numId w:val="1"/>
        </w:num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Доступность для населения финансовых услуг, оказываемых на территории региона.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85"/>
        <w:ind w:left="0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удаленных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малонаселенных</w:t>
      </w:r>
      <w:r>
        <w:rPr>
          <w:rFonts w:ascii="Times New Roman" w:hAnsi="Times New Roman" w:cs="Times New Roman"/>
          <w:sz w:val="24"/>
          <w:szCs w:val="24"/>
        </w:rPr>
        <w:t xml:space="preserve"> и труднодоступных поселениях возможность получать в целом банковское обслуживание на постоянной основе затруднена, в том числе посредством </w:t>
      </w:r>
      <w:r>
        <w:rPr>
          <w:rFonts w:ascii="Times New Roman" w:hAnsi="Times New Roman" w:cs="Times New Roman"/>
          <w:sz w:val="24"/>
          <w:szCs w:val="24"/>
        </w:rPr>
        <w:t xml:space="preserve">удаленного</w:t>
      </w:r>
      <w:r>
        <w:rPr>
          <w:rFonts w:ascii="Times New Roman" w:hAnsi="Times New Roman" w:cs="Times New Roman"/>
          <w:sz w:val="24"/>
          <w:szCs w:val="24"/>
        </w:rPr>
        <w:t xml:space="preserve"> доступа к финансовым услугам. В свою очередь, проводятся мероприятия по совершенствованию условий для увеличения доступности финансовых услуг, в том числе - развитие проекта </w:t>
      </w:r>
      <w:r>
        <w:rPr>
          <w:rFonts w:ascii="Times New Roman" w:hAnsi="Times New Roman" w:cs="Times New Roman"/>
          <w:sz w:val="24"/>
          <w:szCs w:val="24"/>
        </w:rPr>
        <w:t xml:space="preserve">CashOut</w:t>
      </w:r>
      <w:r>
        <w:rPr>
          <w:rFonts w:ascii="Times New Roman" w:hAnsi="Times New Roman" w:cs="Times New Roman"/>
          <w:sz w:val="24"/>
          <w:szCs w:val="24"/>
        </w:rPr>
        <w:t xml:space="preserve">, в целях обеспечения возможности снятия наличных денег в торгово-сервисных организациях.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5"/>
        <w:ind w:left="0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z w:val="24"/>
          <w:szCs w:val="24"/>
        </w:rPr>
        <w:t xml:space="preserve">проведенного</w:t>
      </w:r>
      <w:r>
        <w:rPr>
          <w:rFonts w:ascii="Times New Roman" w:hAnsi="Times New Roman" w:cs="Times New Roman"/>
          <w:sz w:val="24"/>
          <w:szCs w:val="24"/>
        </w:rPr>
        <w:t xml:space="preserve"> мониторинга способов оплаты за товары и услуги на предприятиях торговли, транспорта, общественного питания, организаций здравоохранения, системы ЖКХ,</w:t>
      </w:r>
      <w:r>
        <w:rPr>
          <w:rFonts w:ascii="Times New Roman" w:hAnsi="Times New Roman" w:cs="Times New Roman"/>
          <w:sz w:val="24"/>
          <w:szCs w:val="24"/>
        </w:rPr>
        <w:t xml:space="preserve"> образования, а также способов оплаты при оказании государственных и муниципальных услуг в МФЦ, возможность безналичной оплаты за услуги в образовательных организациях и детских дошкольных организациях, подведомственных отрасли образования составила 100%.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85"/>
        <w:numPr>
          <w:ilvl w:val="1"/>
          <w:numId w:val="1"/>
        </w:num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Мониторинг логистических возможностей муниципального образования Ленинградский район.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</w:t>
      </w:r>
      <w:r>
        <w:rPr>
          <w:rFonts w:ascii="Times New Roman" w:hAnsi="Times New Roman" w:cs="Times New Roman"/>
          <w:sz w:val="24"/>
          <w:szCs w:val="24"/>
        </w:rPr>
        <w:t xml:space="preserve"> автомобильных дорог муниципального образования Ленинградский район составляет 727,1 км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>
        <w:rPr>
          <w:rFonts w:ascii="Times New Roman" w:hAnsi="Times New Roman" w:cs="Times New Roman"/>
          <w:sz w:val="24"/>
          <w:szCs w:val="24"/>
        </w:rPr>
        <w:t xml:space="preserve">населенные</w:t>
      </w:r>
      <w:r>
        <w:rPr>
          <w:rFonts w:ascii="Times New Roman" w:hAnsi="Times New Roman" w:cs="Times New Roman"/>
          <w:sz w:val="24"/>
          <w:szCs w:val="24"/>
        </w:rPr>
        <w:t xml:space="preserve"> пункты Ленинградского района обеспечены дорожной сетью, которая включает в себя дороги краевого значения – 242,2 км и местного значения – 484,9 км. </w:t>
      </w:r>
      <w:r>
        <w:rPr>
          <w:rFonts w:ascii="Times New Roman" w:hAnsi="Times New Roman" w:cs="Times New Roman"/>
          <w:sz w:val="24"/>
          <w:szCs w:val="24"/>
        </w:rPr>
        <w:t xml:space="preserve">Удаленность</w:t>
      </w:r>
      <w:r>
        <w:rPr>
          <w:rFonts w:ascii="Times New Roman" w:hAnsi="Times New Roman" w:cs="Times New Roman"/>
          <w:sz w:val="24"/>
          <w:szCs w:val="24"/>
        </w:rPr>
        <w:t xml:space="preserve"> автотрасс федерального значения от районного центра составляет около 40 км.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Ленинградский район присутствуют следующие виды общественного транспорта: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40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3119"/>
        <w:gridCol w:w="2551"/>
        <w:gridCol w:w="2552"/>
      </w:tblGrid>
      <w:tr>
        <w:tblPrEx/>
        <w:trPr>
          <w:trHeight w:val="113"/>
        </w:trPr>
        <w:tc>
          <w:tcPr>
            <w:shd w:val="clear" w:color="auto" w:fill="auto"/>
            <w:tcW w:w="11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Удовлетворительно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сталкивался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Неудовлетворительно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11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Автобус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shd w:val="clear" w:color="auto" w:fill="auto"/>
            <w:tcW w:w="11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Такси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Результаты мониторинга деятельности хозяйствующих субъектов, доля участия муниципального образования в которых составляет 50 и более процентов.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/>
      <w:bookmarkStart w:id="9" w:name="_Hlk124235975"/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Ленинградский район финансово-хозяйственную деятельность осуществляют: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унитарных предприятия (далее - МУП), в том числе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 МУП оказыва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т услуги рынка водоснабжения и водоотведения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(основные виды деятельности: сбор, очистка и распределение воды); 1 МУП оказывает услуги рынка </w:t>
      </w:r>
      <w:r>
        <w:rPr>
          <w:rFonts w:ascii="Times New Roman" w:hAnsi="Times New Roman" w:cs="Times New Roman"/>
          <w:sz w:val="24"/>
          <w:szCs w:val="24"/>
        </w:rPr>
        <w:t xml:space="preserve">водоснабжения и водоотведения и рынка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теплоснабжения (производство тепловой энергии); </w:t>
      </w:r>
      <w:r>
        <w:rPr>
          <w:rFonts w:ascii="Times New Roman" w:hAnsi="Times New Roman" w:cs="Times New Roman"/>
          <w:sz w:val="24"/>
          <w:szCs w:val="24"/>
        </w:rPr>
        <w:t xml:space="preserve">1 МУП оказывает услуги рынка 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теплоснабжения (производство тепловой энергии);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МУП ЖКХ «Восточное»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МУП ЖКХ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«ВОДОКАНАЛ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 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МУП «Ленинградский теплоцентр»            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- 26 подведомственных муниципальных учреждения муниципального образования, оказывающие услуги на рынке дошкольного образования;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- 21 подведомственное муниципальное учреждение муниципального образования, оказывающие услуги на рынке общего образования;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 подведомственных муниципальных учреждения муниципального образования, оказывающие услуги на рынке дополнительного образования детей;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 подведомственных муниципальных учреждения муниципального образования, оказывающие образовательные услуги.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Реестр хозяйствующих субъектов доля участия муниципального образования в которых составляет 50 и более процентов </w:t>
      </w:r>
      <w:r>
        <w:rPr>
          <w:sz w:val="24"/>
          <w:szCs w:val="24"/>
        </w:rPr>
        <w:t xml:space="preserve">приведен</w:t>
      </w:r>
      <w:r>
        <w:rPr>
          <w:sz w:val="24"/>
          <w:szCs w:val="24"/>
        </w:rPr>
        <w:t xml:space="preserve"> в приложении 1 к </w:t>
      </w:r>
      <w:r>
        <w:rPr>
          <w:sz w:val="24"/>
          <w:szCs w:val="24"/>
        </w:rPr>
        <w:t xml:space="preserve">отчету</w:t>
      </w:r>
      <w:r>
        <w:rPr>
          <w:sz w:val="24"/>
          <w:szCs w:val="24"/>
        </w:rPr>
        <w:t xml:space="preserve">, а также </w:t>
      </w:r>
      <w:r>
        <w:rPr>
          <w:sz w:val="24"/>
          <w:szCs w:val="24"/>
        </w:rPr>
        <w:t xml:space="preserve">размещен</w:t>
      </w:r>
      <w:r>
        <w:rPr>
          <w:sz w:val="24"/>
          <w:szCs w:val="24"/>
        </w:rPr>
        <w:t xml:space="preserve"> на официальном сайте муниципального образования Ленинградский район в разделе «Стандарт развития конкуренции» подразделе «Реестры и тарифы» (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"https://adminlenkub.ru/item/719327"</w:instrText>
      </w:r>
      <w:r>
        <w:rPr>
          <w:sz w:val="24"/>
          <w:szCs w:val="24"/>
        </w:rPr>
        <w:fldChar w:fldCharType="separate"/>
      </w:r>
      <w:r>
        <w:rPr>
          <w:rStyle w:val="902"/>
          <w:color w:val="auto"/>
          <w:sz w:val="24"/>
          <w:szCs w:val="24"/>
        </w:rPr>
        <w:t xml:space="preserve">https</w:t>
      </w:r>
      <w:r>
        <w:rPr>
          <w:rStyle w:val="902"/>
          <w:color w:val="auto"/>
          <w:sz w:val="24"/>
          <w:szCs w:val="24"/>
        </w:rPr>
        <w:t xml:space="preserve">://</w:t>
      </w:r>
      <w:r>
        <w:rPr>
          <w:rStyle w:val="902"/>
          <w:color w:val="auto"/>
          <w:sz w:val="24"/>
          <w:szCs w:val="24"/>
        </w:rPr>
        <w:t xml:space="preserve">adminlenkub.ru</w:t>
      </w:r>
      <w:r>
        <w:rPr>
          <w:rStyle w:val="902"/>
          <w:color w:val="auto"/>
          <w:sz w:val="24"/>
          <w:szCs w:val="24"/>
        </w:rPr>
        <w:t xml:space="preserve">/</w:t>
      </w:r>
      <w:r>
        <w:rPr>
          <w:rStyle w:val="902"/>
          <w:color w:val="auto"/>
          <w:sz w:val="24"/>
          <w:szCs w:val="24"/>
        </w:rPr>
        <w:t xml:space="preserve">item</w:t>
      </w:r>
      <w:r>
        <w:rPr>
          <w:rStyle w:val="902"/>
          <w:color w:val="auto"/>
          <w:sz w:val="24"/>
          <w:szCs w:val="24"/>
        </w:rPr>
        <w:t xml:space="preserve">/719327</w:t>
      </w:r>
      <w:r>
        <w:rPr>
          <w:rStyle w:val="902"/>
          <w:color w:val="auto"/>
          <w:sz w:val="24"/>
          <w:szCs w:val="24"/>
        </w:rPr>
        <w:fldChar w:fldCharType="end"/>
      </w:r>
      <w:r>
        <w:rPr>
          <w:sz w:val="24"/>
          <w:szCs w:val="24"/>
        </w:rPr>
        <w:t xml:space="preserve"> )</w:t>
      </w:r>
      <w:bookmarkEnd w:id="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Создание и реализация механизмов общественного контроля за деятельностью субъектов естественных монополий.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Ленинградского района обособленные подразделения субъектов естественной монополии (хозяйствующие субъекты, занятые производством товаров в условиях естественной монополии) и юридические лица оказывают следующие услуги: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транспортировка газа по трубопроводам (</w:t>
      </w:r>
      <w:r>
        <w:rPr>
          <w:rFonts w:ascii="Times New Roman" w:hAnsi="Times New Roman" w:cs="Times New Roman"/>
          <w:sz w:val="24"/>
          <w:szCs w:val="24"/>
        </w:rPr>
        <w:t xml:space="preserve">филиал АО</w:t>
      </w:r>
      <w:r>
        <w:rPr>
          <w:rFonts w:ascii="Times New Roman" w:hAnsi="Times New Roman" w:cs="Times New Roman"/>
          <w:sz w:val="24"/>
          <w:szCs w:val="24"/>
        </w:rPr>
        <w:t xml:space="preserve"> «Газпром</w:t>
      </w:r>
      <w:r>
        <w:rPr>
          <w:rFonts w:ascii="Times New Roman" w:hAnsi="Times New Roman" w:cs="Times New Roman"/>
          <w:sz w:val="24"/>
          <w:szCs w:val="24"/>
        </w:rPr>
        <w:t xml:space="preserve"> газораспределение Краснодар</w:t>
      </w:r>
      <w:r>
        <w:rPr>
          <w:rFonts w:ascii="Times New Roman" w:hAnsi="Times New Roman" w:cs="Times New Roman"/>
          <w:sz w:val="24"/>
          <w:szCs w:val="24"/>
        </w:rPr>
        <w:t xml:space="preserve">»);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услуги общедоступной почтовой связи (АО «</w:t>
      </w:r>
      <w:r>
        <w:rPr>
          <w:rFonts w:ascii="Times New Roman" w:hAnsi="Times New Roman" w:cs="Times New Roman"/>
          <w:sz w:val="24"/>
          <w:szCs w:val="24"/>
        </w:rPr>
        <w:t xml:space="preserve">Почта России</w:t>
      </w:r>
      <w:r>
        <w:rPr>
          <w:rFonts w:ascii="Times New Roman" w:hAnsi="Times New Roman" w:cs="Times New Roman"/>
          <w:sz w:val="24"/>
          <w:szCs w:val="24"/>
        </w:rPr>
        <w:t xml:space="preserve">»);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водоснабжение и водоотведение с использованием централизованных систем, систем коммунальной инфраструктуры (</w:t>
      </w:r>
      <w:r>
        <w:rPr>
          <w:rFonts w:ascii="Times New Roman" w:hAnsi="Times New Roman" w:cs="Times New Roman"/>
          <w:sz w:val="24"/>
          <w:szCs w:val="24"/>
        </w:rPr>
        <w:t xml:space="preserve">МУП ЖКХ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одоканал»);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услуги по предоставлению электроэнергии (ПАО «Кубаньэнерго»);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услуги по передаче тепловой энергии (</w:t>
      </w:r>
      <w:r>
        <w:rPr>
          <w:rFonts w:ascii="Times New Roman" w:hAnsi="Times New Roman" w:cs="Times New Roman"/>
          <w:sz w:val="24"/>
          <w:szCs w:val="24"/>
        </w:rPr>
        <w:t xml:space="preserve">филиал «Ленинградские тепловые сети», ООО «</w:t>
      </w:r>
      <w:r>
        <w:rPr>
          <w:rFonts w:ascii="Times New Roman" w:hAnsi="Times New Roman" w:cs="Times New Roman"/>
          <w:sz w:val="24"/>
          <w:szCs w:val="24"/>
        </w:rPr>
        <w:t xml:space="preserve">СПКК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время, в соответствие с действующим законодательством, тарифы на услуги естественных монополий на муниципальном уровне не регулируются.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Органом ценового регулирования является РЭК- департамент цен и тарифов Краснодарского края.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тарифов на услуги, параметры качества и </w:t>
      </w:r>
      <w:r>
        <w:rPr>
          <w:rFonts w:ascii="Times New Roman" w:hAnsi="Times New Roman" w:cs="Times New Roman"/>
          <w:sz w:val="24"/>
          <w:szCs w:val="24"/>
        </w:rPr>
        <w:t xml:space="preserve">надежности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предоставляемых услуг, стандартах обслуживания потребителей и процедур получения потребителями услуг ООО «</w:t>
      </w:r>
      <w:r>
        <w:rPr>
          <w:rFonts w:ascii="Times New Roman" w:hAnsi="Times New Roman" w:cs="Times New Roman"/>
          <w:sz w:val="24"/>
          <w:szCs w:val="24"/>
        </w:rPr>
        <w:t xml:space="preserve">Газпроммежрегионгаз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Краснодар», ПАО «Кубаньэнерго», ФГУП «Почта России» является прозрачной и открытой, размещается в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n-US"/>
        </w:rPr>
        <w:t xml:space="preserve">Качество и объем услуг, предоставляемых субъектами естественной монополии на территории </w:t>
      </w: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муниципального образования Ленинградский район, соответствуют установленным </w:t>
      </w: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требованиям федерального законодательства, законодательства Краснодарского края, нормативным правовым актам муниципального образования Ленинградский район.</w:t>
      </w: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соблюдением установленных тарифов предоставляемых услуг осуществляется Региональной Энергетической Комиссией Краснодарского края. Нарушения действующего законодательства отсутствуют.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Тарифное регулирование на 202</w:t>
      </w:r>
      <w:r>
        <w:rPr>
          <w:sz w:val="24"/>
          <w:szCs w:val="24"/>
          <w:lang w:eastAsia="ar-SA"/>
        </w:rPr>
        <w:t xml:space="preserve">4</w:t>
      </w:r>
      <w:r>
        <w:rPr>
          <w:sz w:val="24"/>
          <w:szCs w:val="24"/>
          <w:lang w:eastAsia="ar-SA"/>
        </w:rPr>
        <w:t xml:space="preserve"> год проведено с </w:t>
      </w:r>
      <w:r>
        <w:rPr>
          <w:sz w:val="24"/>
          <w:szCs w:val="24"/>
          <w:lang w:eastAsia="ar-SA"/>
        </w:rPr>
        <w:t xml:space="preserve">учетом</w:t>
      </w:r>
      <w:r>
        <w:rPr>
          <w:sz w:val="24"/>
          <w:szCs w:val="24"/>
          <w:lang w:eastAsia="ar-SA"/>
        </w:rPr>
        <w:t xml:space="preserve"> показателей прогнозов социально-экономического развития Российской Федерации на 202</w:t>
      </w:r>
      <w:r>
        <w:rPr>
          <w:sz w:val="24"/>
          <w:szCs w:val="24"/>
          <w:lang w:eastAsia="ar-SA"/>
        </w:rPr>
        <w:t xml:space="preserve">4</w:t>
      </w:r>
      <w:r>
        <w:rPr>
          <w:sz w:val="24"/>
          <w:szCs w:val="24"/>
          <w:lang w:eastAsia="ar-SA"/>
        </w:rPr>
        <w:t xml:space="preserve"> год и на плановый период 202</w:t>
      </w:r>
      <w:r>
        <w:rPr>
          <w:sz w:val="24"/>
          <w:szCs w:val="24"/>
          <w:lang w:eastAsia="ar-SA"/>
        </w:rPr>
        <w:t xml:space="preserve">5</w:t>
      </w:r>
      <w:r>
        <w:rPr>
          <w:sz w:val="24"/>
          <w:szCs w:val="24"/>
          <w:lang w:eastAsia="ar-SA"/>
        </w:rPr>
        <w:t xml:space="preserve"> – 202</w:t>
      </w:r>
      <w:r>
        <w:rPr>
          <w:sz w:val="24"/>
          <w:szCs w:val="24"/>
          <w:lang w:eastAsia="ar-SA"/>
        </w:rPr>
        <w:t xml:space="preserve">6</w:t>
      </w:r>
      <w:r>
        <w:rPr>
          <w:sz w:val="24"/>
          <w:szCs w:val="24"/>
          <w:lang w:eastAsia="ar-SA"/>
        </w:rPr>
        <w:t xml:space="preserve"> годов, социально-экономического развития Российской Федерации на период 202</w:t>
      </w:r>
      <w:r>
        <w:rPr>
          <w:sz w:val="24"/>
          <w:szCs w:val="24"/>
          <w:lang w:eastAsia="ar-SA"/>
        </w:rPr>
        <w:t xml:space="preserve">7</w:t>
      </w:r>
      <w:r>
        <w:rPr>
          <w:sz w:val="24"/>
          <w:szCs w:val="24"/>
          <w:lang w:eastAsia="ar-SA"/>
        </w:rPr>
        <w:t xml:space="preserve"> года, а также на основании принятых ФАС России решений об установлении предельных минимальных и максимальных уровней тарифов на электроэнергию для населения субъектов Российской Федерации.</w:t>
      </w:r>
      <w:r>
        <w:rPr>
          <w:sz w:val="24"/>
          <w:szCs w:val="24"/>
          <w:lang w:eastAsia="ar-SA"/>
        </w:rPr>
      </w:r>
      <w:r>
        <w:rPr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структуру </w:t>
      </w:r>
      <w:r>
        <w:rPr>
          <w:rFonts w:ascii="Times New Roman" w:hAnsi="Times New Roman" w:cs="Times New Roman"/>
          <w:sz w:val="24"/>
          <w:szCs w:val="24"/>
        </w:rPr>
        <w:t xml:space="preserve">платежного</w:t>
      </w:r>
      <w:r>
        <w:rPr>
          <w:rFonts w:ascii="Times New Roman" w:hAnsi="Times New Roman" w:cs="Times New Roman"/>
          <w:sz w:val="24"/>
          <w:szCs w:val="24"/>
        </w:rPr>
        <w:t xml:space="preserve"> документа помимо коммунальных услуг, которые регулируются государством, входят также </w:t>
      </w:r>
      <w:r>
        <w:rPr>
          <w:rFonts w:ascii="Times New Roman" w:hAnsi="Times New Roman" w:cs="Times New Roman"/>
          <w:bCs/>
          <w:sz w:val="24"/>
          <w:szCs w:val="24"/>
        </w:rPr>
        <w:t xml:space="preserve">жилищные услуги</w:t>
      </w:r>
      <w:r>
        <w:rPr>
          <w:rFonts w:ascii="Times New Roman" w:hAnsi="Times New Roman" w:cs="Times New Roman"/>
          <w:sz w:val="24"/>
          <w:szCs w:val="24"/>
        </w:rPr>
        <w:t xml:space="preserve"> (например, содержание и ремонт жилого помещения, домофон, охрана и т.п.), 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стоимость</w:t>
      </w:r>
      <w:r>
        <w:rPr>
          <w:rFonts w:ascii="Times New Roman" w:hAnsi="Times New Roman" w:cs="Times New Roman"/>
          <w:sz w:val="24"/>
          <w:szCs w:val="24"/>
        </w:rPr>
        <w:t xml:space="preserve"> которых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 регулируется государством</w:t>
      </w:r>
      <w:r>
        <w:rPr>
          <w:rFonts w:ascii="Times New Roman" w:hAnsi="Times New Roman" w:cs="Times New Roman"/>
          <w:sz w:val="24"/>
          <w:szCs w:val="24"/>
        </w:rPr>
        <w:t xml:space="preserve">. Она определяется самими собственниками жилых помещений при выборе способа управления многоквартирным домом (непосредственный способ управления, ТСЖ, </w:t>
      </w:r>
      <w:r>
        <w:rPr>
          <w:rFonts w:ascii="Times New Roman" w:hAnsi="Times New Roman" w:cs="Times New Roman"/>
          <w:sz w:val="24"/>
          <w:szCs w:val="24"/>
        </w:rPr>
        <w:t xml:space="preserve">ЖКС</w:t>
      </w:r>
      <w:r>
        <w:rPr>
          <w:rFonts w:ascii="Times New Roman" w:hAnsi="Times New Roman" w:cs="Times New Roman"/>
          <w:sz w:val="24"/>
          <w:szCs w:val="24"/>
        </w:rPr>
        <w:t xml:space="preserve">, либо с привлечением управляющих компаний) и фиксируется в договоре.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платы за жилищные услуги следует уточнять в своей Управляющей компании либо в договоре управления домом.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Административные барьеры, препятствующие развитию малого и среднего предпринимательства.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9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муниципального образования Ленинградский район осуществляют хозяйствующую деятельность 2084 субъектов малого и среднего предпринимательства.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4" w:right="29" w:firstLine="720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распоряжением Правительства Российской Федерации от 17 апреля 2019 г. № 768-р, министерством экономики Краснодарского края </w:t>
      </w:r>
      <w:r>
        <w:rPr>
          <w:rFonts w:ascii="Times New Roman" w:hAnsi="Times New Roman" w:cs="Times New Roman"/>
          <w:sz w:val="24"/>
          <w:szCs w:val="24"/>
        </w:rPr>
        <w:t xml:space="preserve">проведен</w:t>
      </w:r>
      <w:r>
        <w:rPr>
          <w:rFonts w:ascii="Times New Roman" w:hAnsi="Times New Roman" w:cs="Times New Roman"/>
          <w:sz w:val="24"/>
          <w:szCs w:val="24"/>
        </w:rPr>
        <w:t xml:space="preserve"> ежегодный мониторин</w:t>
      </w:r>
      <w:r>
        <w:rPr>
          <w:rFonts w:ascii="Times New Roman" w:hAnsi="Times New Roman" w:cs="Times New Roman"/>
          <w:sz w:val="24"/>
          <w:szCs w:val="24"/>
        </w:rPr>
        <w:t xml:space="preserve">г состояния и развития конкуренции на товарных рынках Краснодарского края. В целях улучшения качества и достоверности сведений о состоянии конкуренции на товарных рынках Краснодарского края, данный мониторинг проводился в период с 1 ноября по 30 ноября 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разрезе товарных рынков, субъекты предпринимательской деятельности, принявшие участие в опросе, поделены следующим образом.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7229"/>
        <w:gridCol w:w="2268"/>
      </w:tblGrid>
      <w:tr>
        <w:tblPrEx/>
        <w:trPr>
          <w:trHeight w:val="579"/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Товарный рынок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опрошенных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35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right="-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сфера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8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комплекс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Промышленности и добыча полезных ископаемых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Торговля и услуги населению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41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Санаторно-курортный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885"/>
              <w:numPr>
                <w:ilvl w:val="0"/>
                <w:numId w:val="5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0"/>
        <w:ind w:right="-5" w:firstLine="567"/>
        <w:jc w:val="both"/>
        <w:spacing w:before="0" w:beforeAutospacing="0" w:after="0" w:afterAutospacing="0"/>
      </w:pPr>
      <w:r>
        <w:t xml:space="preserve">По мнению субъектов предпринимательской деятельности, наиболее эффективными мерами для повышения конкурентоспособности продукции/работ/услуг и развитию бизнеса, которые предпринимались в течение последних 3-х лет являются:</w:t>
      </w:r>
      <w:r/>
    </w:p>
    <w:p>
      <w:pPr>
        <w:pStyle w:val="890"/>
        <w:ind w:right="-5" w:firstLine="567"/>
        <w:jc w:val="both"/>
        <w:spacing w:before="0" w:beforeAutospacing="0" w:after="0" w:afterAutospacing="0"/>
        <w:rPr>
          <w:highlight w:val="yellow"/>
        </w:rPr>
      </w:pPr>
      <w:r>
        <w:drawing>
          <wp:inline distT="0" distB="0" distL="0" distR="0">
            <wp:extent cx="5748020" cy="2027582"/>
            <wp:effectExtent l="0" t="0" r="5080" b="10795"/>
            <wp:docPr id="2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>
        <w:rPr>
          <w:highlight w:val="yellow"/>
        </w:rPr>
      </w:r>
      <w:r>
        <w:rPr>
          <w:highlight w:val="yellow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Наиболее часто, субъекты предпринимательской деятельности, осуществляющие свою деятельность на территории муниципального образования, сталкивались со следующими административными барьерами: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 регистрации субъектов малого и среднего предпринимательства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11,1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% респондентов;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 лицензировании отдельных видов деятельности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25,0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% респондентов;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 сертификации и стандартизации продукции, работ и услуг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27,8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% респондентов;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ри контроле и надзоре за текущей предпринимательской деятельностью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27,8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% респондентов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yellow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вопрос анкетирования: «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ак изменился уровень административных барьеров на товарном рынке, основном для бизнеса, который Вы представляете, в течение последних 3 лет?</w:t>
      </w:r>
      <w:r>
        <w:rPr>
          <w:rFonts w:ascii="Times New Roman" w:hAnsi="Times New Roman" w:cs="Times New Roman"/>
          <w:sz w:val="24"/>
          <w:szCs w:val="24"/>
        </w:rPr>
        <w:t xml:space="preserve">» субъекты предпринимательской деятельности отметили следующее: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2"/>
        <w:gridCol w:w="760"/>
      </w:tblGrid>
      <w:tr>
        <w:tblPrEx/>
        <w:trPr>
          <w:trHeight w:val="315"/>
        </w:trPr>
        <w:tc>
          <w:tcPr>
            <w:shd w:val="clear" w:color="auto" w:fill="auto"/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Административные барьеры были полностью устранены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55,5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Административные барьеры отсутствуют, как и ранее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30,5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bottom w:val="single" w:color="auto" w:sz="12" w:space="0"/>
            </w:tcBorders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Бизнесу стало сложнее преодолевать административные барьеры, чем раньше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12" w:space="0"/>
            </w:tcBorders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12" w:space="0"/>
            </w:tcBorders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Ранее административные барьеры отсутствовали, однако сейчас появились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12" w:space="0"/>
            </w:tcBorders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2,3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Затрудняюсь ответить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5,5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результатам опроса субъектов предпринимательского сообщества на действия соответствующих служб, оказывающих услуги в пределах своих полномочий, жалоб и претензий не поступало.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5. Результаты реализации мероприятий «дорожной карты» по содействию развитию конкуренции муниципального образования.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/>
      <w:bookmarkStart w:id="10" w:name="_Hlk150429082"/>
      <w:r>
        <w:rPr>
          <w:rStyle w:val="914"/>
          <w:rFonts w:ascii="Times New Roman" w:hAnsi="Times New Roman" w:cs="Times New Roman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со Стандартом развития конкуренции в субъектах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утвержденным</w:t>
      </w:r>
      <w:r>
        <w:rPr>
          <w:rFonts w:ascii="Times New Roman" w:hAnsi="Times New Roman" w:cs="Times New Roman"/>
          <w:sz w:val="24"/>
          <w:szCs w:val="24"/>
        </w:rPr>
        <w:t xml:space="preserve"> распоряжением Правительства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 от 17 апреля 2019 года № 768-р, на основании распоряжения главы администрации (губернатора) Краснодарского края от 16 декабря 2019 года №416-р «Об утверждении плана мероприятий («дорожная карта») по содействию развитию конкуренции в Краснодарском крае»,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в целях реализации мероприятий по внедрению стандарта развития конкуренции </w:t>
      </w:r>
      <w:r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Ленинградский район, распоряжением администрации муниципального образования Ленинградский район от 31 декабря 2019 года № 284-р </w:t>
      </w:r>
      <w:r>
        <w:rPr>
          <w:rFonts w:ascii="Times New Roman" w:hAnsi="Times New Roman" w:cs="Times New Roman"/>
          <w:sz w:val="24"/>
          <w:szCs w:val="24"/>
        </w:rPr>
        <w:t xml:space="preserve">утвержден</w:t>
      </w:r>
      <w:r>
        <w:rPr>
          <w:rFonts w:ascii="Times New Roman" w:hAnsi="Times New Roman" w:cs="Times New Roman"/>
          <w:sz w:val="24"/>
          <w:szCs w:val="24"/>
        </w:rPr>
        <w:t xml:space="preserve"> план мероприятий («дорожная карта») по содействию развитию конкуренции в муниципальном образовании Ленинградский район (с изменениями от </w:t>
      </w:r>
      <w:r>
        <w:rPr>
          <w:rFonts w:ascii="Times New Roman" w:hAnsi="Times New Roman" w:cs="Times New Roman"/>
          <w:sz w:val="24"/>
          <w:szCs w:val="24"/>
        </w:rPr>
        <w:t xml:space="preserve">12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01</w:t>
      </w:r>
      <w:r>
        <w:rPr>
          <w:rFonts w:ascii="Times New Roman" w:hAnsi="Times New Roman" w:cs="Times New Roman"/>
          <w:sz w:val="24"/>
          <w:szCs w:val="24"/>
        </w:rPr>
        <w:t xml:space="preserve">.202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-р), со значениями целевых показателей по факту 2022 года и на плановый период до 2025 года, </w:t>
      </w:r>
      <w:r>
        <w:rPr>
          <w:rFonts w:ascii="Times New Roman" w:hAnsi="Times New Roman" w:cs="Times New Roman"/>
          <w:bCs/>
          <w:sz w:val="24"/>
          <w:szCs w:val="24"/>
        </w:rPr>
        <w:t xml:space="preserve">мероприятия стратегических, программных и иных документов, реализация которых оказывает влияние на состояние конкуренции на товарных рынках муниципального образования Ленинградский район, а также </w:t>
      </w:r>
      <w:r>
        <w:rPr>
          <w:rFonts w:ascii="Times New Roman" w:hAnsi="Times New Roman" w:cs="Times New Roman"/>
          <w:sz w:val="24"/>
          <w:szCs w:val="24"/>
        </w:rPr>
        <w:t xml:space="preserve">перечень ключевых показателей развития </w:t>
      </w:r>
      <w:r>
        <w:rPr>
          <w:rFonts w:ascii="Times New Roman" w:hAnsi="Times New Roman" w:cs="Times New Roman"/>
          <w:sz w:val="24"/>
          <w:szCs w:val="24"/>
        </w:rPr>
        <w:t xml:space="preserve">конкуренции к 1 января 2025 г. в муниципальном образовании Ленинградский район. План мероприятий разработан с </w:t>
      </w:r>
      <w:r>
        <w:rPr>
          <w:rFonts w:ascii="Times New Roman" w:hAnsi="Times New Roman" w:cs="Times New Roman"/>
          <w:sz w:val="24"/>
          <w:szCs w:val="24"/>
        </w:rPr>
        <w:t xml:space="preserve">учетом</w:t>
      </w:r>
      <w:r>
        <w:rPr>
          <w:rFonts w:ascii="Times New Roman" w:hAnsi="Times New Roman" w:cs="Times New Roman"/>
          <w:sz w:val="24"/>
          <w:szCs w:val="24"/>
        </w:rPr>
        <w:t xml:space="preserve"> проанализированных резуль</w:t>
      </w:r>
      <w:r>
        <w:rPr>
          <w:rFonts w:ascii="Times New Roman" w:hAnsi="Times New Roman" w:cs="Times New Roman"/>
          <w:sz w:val="24"/>
          <w:szCs w:val="24"/>
        </w:rPr>
        <w:t xml:space="preserve">татов мониторинга проведения оценки эффективности деятельности органов местного самоуправления муниципального образования Ленинградский район по содействию развитию конкуренции и обеспечению условий для формирования благоприятного инвестиционного климата. </w:t>
      </w:r>
      <w:bookmarkEnd w:id="10"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достижении целевых значений: контрольных показателей эффективности, установленных в плане мероприятий («дорожной карте») по содействию развитию конкуренции в муниципальном образовании Ленинградский район; </w:t>
      </w:r>
      <w:r>
        <w:rPr>
          <w:rFonts w:ascii="Times New Roman" w:hAnsi="Times New Roman" w:cs="Times New Roman"/>
          <w:bCs/>
          <w:sz w:val="24"/>
          <w:szCs w:val="24"/>
        </w:rPr>
        <w:t xml:space="preserve">мероприятий стратегических, программных и иных документов, реализация которых оказывает влияние на состояние конкуренции на товарных рынках муниципального образования Ленинградский район </w:t>
      </w:r>
      <w:r>
        <w:rPr>
          <w:rFonts w:ascii="Times New Roman" w:hAnsi="Times New Roman" w:cs="Times New Roman"/>
          <w:sz w:val="24"/>
          <w:szCs w:val="24"/>
        </w:rPr>
        <w:t xml:space="preserve">в приложении № 2 к данному </w:t>
      </w:r>
      <w:r>
        <w:rPr>
          <w:rFonts w:ascii="Times New Roman" w:hAnsi="Times New Roman" w:cs="Times New Roman"/>
          <w:sz w:val="24"/>
          <w:szCs w:val="24"/>
        </w:rPr>
        <w:t xml:space="preserve">отчету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6. Сведения 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практиках содействия развитию конкуренции, </w:t>
      </w:r>
      <w:r>
        <w:rPr>
          <w:rFonts w:ascii="Times New Roman" w:hAnsi="Times New Roman" w:cs="Times New Roman"/>
          <w:b/>
          <w:sz w:val="24"/>
          <w:szCs w:val="24"/>
        </w:rPr>
        <w:t xml:space="preserve">внедренных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в муниципальном образовании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в 202</w:t>
      </w:r>
      <w:r>
        <w:rPr>
          <w:rFonts w:ascii="Times New Roman" w:hAnsi="Times New Roman" w:cs="Times New Roman"/>
          <w:b/>
          <w:sz w:val="24"/>
          <w:szCs w:val="24"/>
        </w:rPr>
        <w:t xml:space="preserve"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Приоритетным направлением динамичного экономического разви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тия муниципального образования Ленинградский район является привлечение инвестиций. Администрация муниципального образования проводит активную политику, направленную на формирование благоприятного инвестиционного климата и привлечение капитала в экономику.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Ленинградский район расположен 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Приазово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-Кубанской равнине в северной зоне Краснодарского края, имеющей наиболее высокий аграрный потенциал.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Основу экономического потенциала Ленинградского района составляет агропромышленный комплекс — сельское хозяйство и пере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рабатывающая промышленность, на которые приходится более 80 % оборота продукции. Агропромышленный комплекс района обладает мощной производственно- технической базой. По уровню развития аграрного сектора экономики район занимает одно из ведущих мест в крае.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целью создания условий для вовлечения детей  и их семей в культурную жизнь Российской Федерации, Краснодарского края и муниципального применялась муниципальная практика 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культурных потребностей у дошкольника</w:t>
      </w:r>
      <w:r>
        <w:rPr>
          <w:rFonts w:ascii="Times New Roman" w:hAnsi="Times New Roman" w:cs="Times New Roman"/>
          <w:sz w:val="24"/>
          <w:szCs w:val="24"/>
        </w:rPr>
        <w:t xml:space="preserve">», а также с целью формирования предпосылок инженерного мышления дошкольников с ОВЗ применялась муниципальная практика 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предпосылок инженерного мышления у дошкольников с ОВЗ посредствам включения в деятельность технопарка в детском саду</w:t>
      </w:r>
      <w:r>
        <w:rPr>
          <w:rFonts w:ascii="Times New Roman" w:hAnsi="Times New Roman" w:cs="Times New Roman"/>
          <w:sz w:val="24"/>
          <w:szCs w:val="24"/>
        </w:rPr>
        <w:t xml:space="preserve">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pStyle w:val="890"/>
        <w:jc w:val="both"/>
        <w:spacing w:before="0" w:beforeAutospacing="0" w:after="0" w:afterAutospacing="0"/>
      </w:pPr>
      <w:r/>
      <w:r/>
    </w:p>
    <w:p>
      <w:pPr>
        <w:pStyle w:val="890"/>
        <w:jc w:val="both"/>
        <w:spacing w:before="0" w:beforeAutospacing="0" w:after="0" w:afterAutospacing="0"/>
        <w:rPr>
          <w:highlight w:val="white"/>
        </w:rPr>
      </w:pPr>
      <w:r>
        <w:rPr>
          <w:highlight w:val="none"/>
        </w:rPr>
        <w:t xml:space="preserve">З</w:t>
      </w:r>
      <w:r>
        <w:rPr>
          <w:highlight w:val="white"/>
        </w:rPr>
        <w:t xml:space="preserve">аместитель главы </w:t>
      </w:r>
      <w:r>
        <w:rPr>
          <w:highlight w:val="white"/>
        </w:rPr>
      </w:r>
      <w:r>
        <w:rPr>
          <w:highlight w:val="white"/>
        </w:rPr>
      </w:r>
    </w:p>
    <w:p>
      <w:pPr>
        <w:pStyle w:val="890"/>
        <w:jc w:val="both"/>
        <w:spacing w:before="0" w:beforeAutospacing="0" w:after="0" w:afterAutospacing="0"/>
        <w:rPr>
          <w:highlight w:val="yellow"/>
        </w:rPr>
      </w:pPr>
      <w:r>
        <w:rPr>
          <w:highlight w:val="none"/>
        </w:rPr>
        <w:t xml:space="preserve">Ленинградского муниципального округа,</w:t>
      </w:r>
      <w:r>
        <w:rPr>
          <w:highlight w:val="none"/>
        </w:rPr>
      </w:r>
      <w:r>
        <w:rPr>
          <w:highlight w:val="yellow"/>
        </w:rPr>
      </w:r>
    </w:p>
    <w:p>
      <w:pPr>
        <w:pStyle w:val="890"/>
        <w:jc w:val="both"/>
        <w:spacing w:before="0" w:beforeAutospacing="0" w:after="0" w:afterAutospacing="0"/>
        <w:rPr>
          <w:highlight w:val="yellow"/>
        </w:rPr>
      </w:pPr>
      <w:r>
        <w:rPr>
          <w:highlight w:val="none"/>
        </w:rPr>
        <w:t xml:space="preserve">начальник финансового</w:t>
      </w:r>
      <w:r>
        <w:rPr>
          <w:highlight w:val="yellow"/>
        </w:rPr>
        <w:t xml:space="preserve"> </w:t>
      </w:r>
      <w:r>
        <w:rPr>
          <w:highlight w:val="yellow"/>
        </w:rPr>
      </w:r>
      <w:r>
        <w:rPr>
          <w:highlight w:val="yellow"/>
        </w:rPr>
      </w:r>
    </w:p>
    <w:p>
      <w:pPr>
        <w:pStyle w:val="890"/>
        <w:jc w:val="both"/>
        <w:spacing w:before="0" w:beforeAutospacing="0" w:after="0" w:afterAutospacing="0"/>
        <w:tabs>
          <w:tab w:val="left" w:pos="7937" w:leader="none"/>
          <w:tab w:val="left" w:pos="8079" w:leader="none"/>
          <w:tab w:val="left" w:pos="8646" w:leader="none"/>
          <w:tab w:val="left" w:pos="9071" w:leader="none"/>
          <w:tab w:val="left" w:pos="9354" w:leader="none"/>
        </w:tabs>
        <w:rPr>
          <w:sz w:val="28"/>
          <w:szCs w:val="28"/>
        </w:rPr>
      </w:pPr>
      <w:r>
        <w:rPr>
          <w:highlight w:val="none"/>
        </w:rPr>
        <w:t xml:space="preserve">управления администрации</w:t>
      </w:r>
      <w:r>
        <w:rPr>
          <w:sz w:val="28"/>
          <w:szCs w:val="28"/>
        </w:rPr>
        <w:t xml:space="preserve">                                                                               С.В.Тертица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7" w:h="16839" w:orient="portrait"/>
      <w:pgMar w:top="964" w:right="567" w:bottom="709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Mangal">
    <w:panose1 w:val="02040503050406030204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SimSun">
    <w:panose1 w:val="0200050600000002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24</w:t>
    </w:r>
    <w:r>
      <w:fldChar w:fldCharType="end"/>
    </w:r>
    <w:r/>
  </w:p>
  <w:p>
    <w:pPr>
      <w:pStyle w:val="8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styleLink w:val="912"/>
    <w:lvl w:ilvl="0">
      <w:start w:val="1"/>
      <w:numFmt w:val="decimal"/>
      <w:pStyle w:val="912"/>
      <w:isLgl w:val="false"/>
      <w:suff w:val="tab"/>
      <w:lvlText w:val="%1."/>
      <w:lvlJc w:val="left"/>
      <w:pPr>
        <w:ind w:left="66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2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ascii="Times New Roman" w:hAnsi="Times New Roman" w:eastAsia="Times New Roman" w:cs="Mangal"/>
      </w:rPr>
    </w:lvl>
    <w:lvl w:ilvl="1">
      <w:start w:val="3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multiLevelType w:val="hybridMultilevel"/>
    <w:styleLink w:val="913"/>
    <w:lvl w:ilvl="0">
      <w:start w:val="1"/>
      <w:numFmt w:val="decimal"/>
      <w:pStyle w:val="913"/>
      <w:isLgl w:val="false"/>
      <w:suff w:val="tab"/>
      <w:lvlText w:val="%1."/>
      <w:lvlJc w:val="left"/>
      <w:pPr>
        <w:ind w:left="66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4 Char"/>
    <w:basedOn w:val="710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689">
    <w:name w:val="Heading 5 Char"/>
    <w:basedOn w:val="710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690">
    <w:name w:val="Heading 6 Char"/>
    <w:basedOn w:val="710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691">
    <w:name w:val="Heading 7 Char"/>
    <w:basedOn w:val="710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8 Char"/>
    <w:basedOn w:val="710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693">
    <w:name w:val="Heading 9 Char"/>
    <w:basedOn w:val="710"/>
    <w:link w:val="709"/>
    <w:uiPriority w:val="9"/>
    <w:rPr>
      <w:rFonts w:ascii="Arial" w:hAnsi="Arial" w:eastAsia="Arial" w:cs="Arial"/>
      <w:i/>
      <w:iCs/>
      <w:sz w:val="21"/>
      <w:szCs w:val="21"/>
    </w:rPr>
  </w:style>
  <w:style w:type="character" w:styleId="694">
    <w:name w:val="Title Char"/>
    <w:basedOn w:val="710"/>
    <w:link w:val="722"/>
    <w:uiPriority w:val="10"/>
    <w:rPr>
      <w:sz w:val="48"/>
      <w:szCs w:val="48"/>
    </w:rPr>
  </w:style>
  <w:style w:type="character" w:styleId="695">
    <w:name w:val="Subtitle Char"/>
    <w:basedOn w:val="710"/>
    <w:link w:val="724"/>
    <w:uiPriority w:val="11"/>
    <w:rPr>
      <w:sz w:val="24"/>
      <w:szCs w:val="24"/>
    </w:rPr>
  </w:style>
  <w:style w:type="character" w:styleId="696">
    <w:name w:val="Quote Char"/>
    <w:link w:val="726"/>
    <w:uiPriority w:val="29"/>
    <w:rPr>
      <w:i/>
    </w:rPr>
  </w:style>
  <w:style w:type="character" w:styleId="697">
    <w:name w:val="Intense Quote Char"/>
    <w:link w:val="728"/>
    <w:uiPriority w:val="30"/>
    <w:rPr>
      <w:i/>
    </w:rPr>
  </w:style>
  <w:style w:type="character" w:styleId="698">
    <w:name w:val="Footnote Text Char"/>
    <w:link w:val="859"/>
    <w:uiPriority w:val="99"/>
    <w:rPr>
      <w:sz w:val="18"/>
    </w:rPr>
  </w:style>
  <w:style w:type="character" w:styleId="699">
    <w:name w:val="Endnote Text Char"/>
    <w:link w:val="862"/>
    <w:uiPriority w:val="99"/>
    <w:rPr>
      <w:sz w:val="20"/>
    </w:rPr>
  </w:style>
  <w:style w:type="paragraph" w:styleId="700" w:default="1">
    <w:name w:val="Normal"/>
    <w:qFormat/>
    <w:pPr>
      <w:spacing w:line="254" w:lineRule="auto"/>
    </w:pPr>
    <w:rPr>
      <w:rFonts w:ascii="Calibri" w:hAnsi="Calibri" w:eastAsia="SimSun" w:cs="Calibri"/>
      <w:lang w:eastAsia="ar-SA"/>
    </w:rPr>
  </w:style>
  <w:style w:type="paragraph" w:styleId="701">
    <w:name w:val="Heading 1"/>
    <w:basedOn w:val="700"/>
    <w:link w:val="876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Calibri" w:cs="Times New Roman"/>
      <w:b/>
      <w:bCs/>
      <w:sz w:val="48"/>
      <w:szCs w:val="48"/>
      <w:lang w:eastAsia="ru-RU"/>
    </w:rPr>
  </w:style>
  <w:style w:type="paragraph" w:styleId="702">
    <w:name w:val="Heading 2"/>
    <w:basedOn w:val="700"/>
    <w:next w:val="700"/>
    <w:link w:val="877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703">
    <w:name w:val="Heading 3"/>
    <w:basedOn w:val="700"/>
    <w:next w:val="700"/>
    <w:link w:val="878"/>
    <w:uiPriority w:val="9"/>
    <w:semiHidden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704">
    <w:name w:val="Heading 4"/>
    <w:basedOn w:val="700"/>
    <w:next w:val="700"/>
    <w:link w:val="7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700"/>
    <w:next w:val="700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700"/>
    <w:next w:val="700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7">
    <w:name w:val="Heading 7"/>
    <w:basedOn w:val="700"/>
    <w:next w:val="700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8">
    <w:name w:val="Heading 8"/>
    <w:basedOn w:val="700"/>
    <w:next w:val="700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9">
    <w:name w:val="Heading 9"/>
    <w:basedOn w:val="700"/>
    <w:next w:val="700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Heading 1 Char"/>
    <w:basedOn w:val="710"/>
    <w:uiPriority w:val="9"/>
    <w:rPr>
      <w:rFonts w:ascii="Arial" w:hAnsi="Arial" w:eastAsia="Arial" w:cs="Arial"/>
      <w:sz w:val="40"/>
      <w:szCs w:val="40"/>
    </w:rPr>
  </w:style>
  <w:style w:type="character" w:styleId="714" w:customStyle="1">
    <w:name w:val="Heading 2 Char"/>
    <w:basedOn w:val="710"/>
    <w:uiPriority w:val="9"/>
    <w:rPr>
      <w:rFonts w:ascii="Arial" w:hAnsi="Arial" w:eastAsia="Arial" w:cs="Arial"/>
      <w:sz w:val="34"/>
    </w:rPr>
  </w:style>
  <w:style w:type="character" w:styleId="715" w:customStyle="1">
    <w:name w:val="Heading 3 Char"/>
    <w:basedOn w:val="710"/>
    <w:uiPriority w:val="9"/>
    <w:rPr>
      <w:rFonts w:ascii="Arial" w:hAnsi="Arial" w:eastAsia="Arial" w:cs="Arial"/>
      <w:sz w:val="30"/>
      <w:szCs w:val="30"/>
    </w:rPr>
  </w:style>
  <w:style w:type="character" w:styleId="716" w:customStyle="1">
    <w:name w:val="Заголовок 4 Знак"/>
    <w:basedOn w:val="710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717" w:customStyle="1">
    <w:name w:val="Заголовок 5 Знак"/>
    <w:basedOn w:val="710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718" w:customStyle="1">
    <w:name w:val="Заголовок 6 Знак"/>
    <w:basedOn w:val="710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719" w:customStyle="1">
    <w:name w:val="Заголовок 7 Знак"/>
    <w:basedOn w:val="710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0" w:customStyle="1">
    <w:name w:val="Заголовок 8 Знак"/>
    <w:basedOn w:val="710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721" w:customStyle="1">
    <w:name w:val="Заголовок 9 Знак"/>
    <w:basedOn w:val="710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Title"/>
    <w:basedOn w:val="700"/>
    <w:next w:val="70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 w:customStyle="1">
    <w:name w:val="Заголовок Знак"/>
    <w:basedOn w:val="710"/>
    <w:link w:val="722"/>
    <w:uiPriority w:val="10"/>
    <w:rPr>
      <w:sz w:val="48"/>
      <w:szCs w:val="48"/>
    </w:rPr>
  </w:style>
  <w:style w:type="paragraph" w:styleId="724">
    <w:name w:val="Subtitle"/>
    <w:basedOn w:val="700"/>
    <w:next w:val="70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 w:customStyle="1">
    <w:name w:val="Подзаголовок Знак"/>
    <w:basedOn w:val="710"/>
    <w:link w:val="724"/>
    <w:uiPriority w:val="11"/>
    <w:rPr>
      <w:sz w:val="24"/>
      <w:szCs w:val="24"/>
    </w:rPr>
  </w:style>
  <w:style w:type="paragraph" w:styleId="726">
    <w:name w:val="Quote"/>
    <w:basedOn w:val="700"/>
    <w:next w:val="700"/>
    <w:link w:val="727"/>
    <w:uiPriority w:val="29"/>
    <w:qFormat/>
    <w:pPr>
      <w:ind w:left="720" w:right="720"/>
    </w:pPr>
    <w:rPr>
      <w:i/>
    </w:rPr>
  </w:style>
  <w:style w:type="character" w:styleId="727" w:customStyle="1">
    <w:name w:val="Цитата 2 Знак"/>
    <w:link w:val="726"/>
    <w:uiPriority w:val="29"/>
    <w:rPr>
      <w:i/>
    </w:rPr>
  </w:style>
  <w:style w:type="paragraph" w:styleId="728">
    <w:name w:val="Intense Quote"/>
    <w:basedOn w:val="700"/>
    <w:next w:val="700"/>
    <w:link w:val="7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 w:customStyle="1">
    <w:name w:val="Выделенная цитата Знак"/>
    <w:link w:val="728"/>
    <w:uiPriority w:val="30"/>
    <w:rPr>
      <w:i/>
    </w:rPr>
  </w:style>
  <w:style w:type="character" w:styleId="730" w:customStyle="1">
    <w:name w:val="Header Char"/>
    <w:basedOn w:val="710"/>
    <w:uiPriority w:val="99"/>
  </w:style>
  <w:style w:type="character" w:styleId="731" w:customStyle="1">
    <w:name w:val="Footer Char"/>
    <w:basedOn w:val="710"/>
    <w:uiPriority w:val="99"/>
  </w:style>
  <w:style w:type="paragraph" w:styleId="732">
    <w:name w:val="Caption"/>
    <w:basedOn w:val="700"/>
    <w:next w:val="70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3" w:customStyle="1">
    <w:name w:val="Caption Char"/>
    <w:uiPriority w:val="99"/>
  </w:style>
  <w:style w:type="table" w:styleId="734" w:customStyle="1">
    <w:name w:val="Table Grid Light"/>
    <w:basedOn w:val="71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5">
    <w:name w:val="Plain Table 1"/>
    <w:basedOn w:val="71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71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 w:customStyle="1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3" w:customStyle="1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4" w:customStyle="1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5" w:customStyle="1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6" w:customStyle="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7" w:customStyle="1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8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5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6" w:customStyle="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7" w:customStyle="1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8" w:customStyle="1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9" w:customStyle="1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0" w:customStyle="1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1" w:customStyle="1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2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5" w:customStyle="1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6" w:customStyle="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7" w:customStyle="1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8" w:customStyle="1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9" w:customStyle="1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30" w:customStyle="1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1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ned - Accent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Lined - Accent 1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0" w:customStyle="1">
    <w:name w:val="Lined - Accent 2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Lined - Accent 3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Lined - Accent 4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Lined - Accent 5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44" w:customStyle="1">
    <w:name w:val="Lined - Accent 6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 &amp; Lined - Accent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Bordered &amp; Lined - Accent 1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7" w:customStyle="1">
    <w:name w:val="Bordered &amp; Lined - Accent 2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8" w:customStyle="1">
    <w:name w:val="Bordered &amp; Lined - Accent 3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9" w:customStyle="1">
    <w:name w:val="Bordered &amp; Lined - Accent 4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0" w:customStyle="1">
    <w:name w:val="Bordered &amp; Lined - Accent 5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51" w:customStyle="1">
    <w:name w:val="Bordered &amp; Lined - Accent 6"/>
    <w:basedOn w:val="71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2" w:customStyle="1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3" w:customStyle="1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4" w:customStyle="1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5" w:customStyle="1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6" w:customStyle="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7" w:customStyle="1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8" w:customStyle="1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9">
    <w:name w:val="footnote text"/>
    <w:basedOn w:val="700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basedOn w:val="710"/>
    <w:uiPriority w:val="99"/>
    <w:unhideWhenUsed/>
    <w:rPr>
      <w:vertAlign w:val="superscript"/>
    </w:rPr>
  </w:style>
  <w:style w:type="paragraph" w:styleId="862">
    <w:name w:val="endnote text"/>
    <w:basedOn w:val="700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basedOn w:val="710"/>
    <w:uiPriority w:val="99"/>
    <w:semiHidden/>
    <w:unhideWhenUsed/>
    <w:rPr>
      <w:vertAlign w:val="superscript"/>
    </w:rPr>
  </w:style>
  <w:style w:type="paragraph" w:styleId="865">
    <w:name w:val="toc 1"/>
    <w:basedOn w:val="700"/>
    <w:next w:val="700"/>
    <w:uiPriority w:val="39"/>
    <w:unhideWhenUsed/>
    <w:pPr>
      <w:spacing w:after="57"/>
    </w:pPr>
  </w:style>
  <w:style w:type="paragraph" w:styleId="866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867">
    <w:name w:val="toc 3"/>
    <w:basedOn w:val="700"/>
    <w:next w:val="700"/>
    <w:uiPriority w:val="39"/>
    <w:unhideWhenUsed/>
    <w:pPr>
      <w:ind w:left="567"/>
      <w:spacing w:after="57"/>
    </w:pPr>
  </w:style>
  <w:style w:type="paragraph" w:styleId="868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869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870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871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872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873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700"/>
    <w:next w:val="700"/>
    <w:uiPriority w:val="99"/>
    <w:unhideWhenUsed/>
    <w:pPr>
      <w:spacing w:after="0"/>
    </w:pPr>
  </w:style>
  <w:style w:type="character" w:styleId="876" w:customStyle="1">
    <w:name w:val="Заголовок 1 Знак"/>
    <w:basedOn w:val="710"/>
    <w:link w:val="701"/>
    <w:rPr>
      <w:rFonts w:ascii="Times New Roman" w:hAnsi="Times New Roman" w:eastAsia="Calibri" w:cs="Times New Roman"/>
      <w:b/>
      <w:bCs/>
      <w:sz w:val="48"/>
      <w:szCs w:val="48"/>
      <w:lang w:eastAsia="ru-RU"/>
    </w:rPr>
  </w:style>
  <w:style w:type="character" w:styleId="877" w:customStyle="1">
    <w:name w:val="Заголовок 2 Знак"/>
    <w:basedOn w:val="710"/>
    <w:link w:val="702"/>
    <w:uiPriority w:val="9"/>
    <w:semiHidden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ar-SA"/>
    </w:rPr>
  </w:style>
  <w:style w:type="character" w:styleId="878" w:customStyle="1">
    <w:name w:val="Заголовок 3 Знак"/>
    <w:basedOn w:val="710"/>
    <w:link w:val="703"/>
    <w:uiPriority w:val="9"/>
    <w:semiHidden/>
    <w:rPr>
      <w:rFonts w:asciiTheme="majorHAnsi" w:hAnsiTheme="majorHAnsi" w:eastAsiaTheme="majorEastAsia" w:cstheme="majorBidi"/>
      <w:b/>
      <w:bCs/>
      <w:color w:val="4472c4" w:themeColor="accent1"/>
      <w:lang w:eastAsia="ar-SA"/>
    </w:rPr>
  </w:style>
  <w:style w:type="paragraph" w:styleId="879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880" w:customStyle="1">
    <w:name w:val="Основной шрифт абзаца1"/>
  </w:style>
  <w:style w:type="paragraph" w:styleId="881">
    <w:name w:val="Balloon Text"/>
    <w:basedOn w:val="700"/>
    <w:link w:val="88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2" w:customStyle="1">
    <w:name w:val="Текст выноски Знак"/>
    <w:basedOn w:val="710"/>
    <w:link w:val="881"/>
    <w:uiPriority w:val="99"/>
    <w:semiHidden/>
    <w:rPr>
      <w:rFonts w:ascii="Segoe UI" w:hAnsi="Segoe UI" w:eastAsia="SimSun" w:cs="Segoe UI"/>
      <w:sz w:val="18"/>
      <w:szCs w:val="18"/>
      <w:lang w:eastAsia="ar-SA"/>
    </w:rPr>
  </w:style>
  <w:style w:type="paragraph" w:styleId="883">
    <w:name w:val="Header"/>
    <w:basedOn w:val="700"/>
    <w:link w:val="884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4" w:customStyle="1">
    <w:name w:val="Верхний колонтитул Знак"/>
    <w:basedOn w:val="710"/>
    <w:link w:val="88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5">
    <w:name w:val="List Paragraph"/>
    <w:basedOn w:val="700"/>
    <w:uiPriority w:val="34"/>
    <w:qFormat/>
    <w:pPr>
      <w:contextualSpacing/>
      <w:ind w:left="720"/>
    </w:pPr>
  </w:style>
  <w:style w:type="table" w:styleId="886">
    <w:name w:val="Table Grid"/>
    <w:basedOn w:val="71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88">
    <w:name w:val="Footer"/>
    <w:basedOn w:val="700"/>
    <w:link w:val="8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9" w:customStyle="1">
    <w:name w:val="Нижний колонтитул Знак"/>
    <w:basedOn w:val="710"/>
    <w:link w:val="888"/>
    <w:uiPriority w:val="99"/>
    <w:rPr>
      <w:rFonts w:ascii="Calibri" w:hAnsi="Calibri" w:eastAsia="SimSun" w:cs="Calibri"/>
      <w:lang w:eastAsia="ar-SA"/>
    </w:rPr>
  </w:style>
  <w:style w:type="paragraph" w:styleId="890">
    <w:name w:val="Normal (Web)"/>
    <w:basedOn w:val="700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1">
    <w:name w:val="No Spacing"/>
    <w:link w:val="892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2" w:customStyle="1">
    <w:name w:val="Без интервала Знак"/>
    <w:basedOn w:val="710"/>
    <w:link w:val="891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3" w:customStyle="1">
    <w:name w:val="msonormalcxspmiddle"/>
    <w:basedOn w:val="700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4" w:customStyle="1">
    <w:name w:val="Обычный6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95" w:customStyle="1">
    <w:name w:val="Основной текст + 11 pt;Интервал 0 pt"/>
    <w:basedOn w:val="71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1"/>
      <w:position w:val="0"/>
      <w:sz w:val="22"/>
      <w:szCs w:val="22"/>
      <w:u w:val="none"/>
      <w:shd w:val="clear" w:color="auto" w:fill="ffffff"/>
      <w:lang w:val="ru-RU"/>
    </w:rPr>
  </w:style>
  <w:style w:type="paragraph" w:styleId="896" w:customStyle="1">
    <w:name w:val="Основной текст1"/>
    <w:basedOn w:val="700"/>
    <w:pPr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897">
    <w:name w:val="Body Text Indent"/>
    <w:basedOn w:val="700"/>
    <w:link w:val="898"/>
    <w:uiPriority w:val="99"/>
    <w:unhideWhenUsed/>
    <w:pPr>
      <w:ind w:left="283"/>
      <w:spacing w:after="120" w:line="256" w:lineRule="auto"/>
    </w:pPr>
    <w:rPr>
      <w:rFonts w:eastAsia="Calibri" w:cs="Times New Roman"/>
      <w:lang w:eastAsia="en-US"/>
    </w:rPr>
  </w:style>
  <w:style w:type="character" w:styleId="898" w:customStyle="1">
    <w:name w:val="Основной текст с отступом Знак"/>
    <w:basedOn w:val="710"/>
    <w:link w:val="897"/>
    <w:uiPriority w:val="99"/>
    <w:rPr>
      <w:rFonts w:ascii="Calibri" w:hAnsi="Calibri" w:eastAsia="Calibri" w:cs="Times New Roman"/>
    </w:rPr>
  </w:style>
  <w:style w:type="paragraph" w:styleId="899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00">
    <w:name w:val="Plain Text"/>
    <w:basedOn w:val="700"/>
    <w:link w:val="901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01" w:customStyle="1">
    <w:name w:val="Текст Знак"/>
    <w:basedOn w:val="710"/>
    <w:link w:val="900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902">
    <w:name w:val="Hyperlink"/>
    <w:basedOn w:val="710"/>
    <w:uiPriority w:val="99"/>
    <w:unhideWhenUsed/>
    <w:rPr>
      <w:color w:val="0000ff"/>
      <w:u w:val="single"/>
    </w:rPr>
  </w:style>
  <w:style w:type="character" w:styleId="903" w:customStyle="1">
    <w:name w:val="Цветовое выделение"/>
    <w:uiPriority w:val="99"/>
    <w:rPr>
      <w:b/>
      <w:bCs w:val="0"/>
      <w:color w:val="26282f"/>
    </w:rPr>
  </w:style>
  <w:style w:type="character" w:styleId="904">
    <w:name w:val="Strong"/>
    <w:basedOn w:val="710"/>
    <w:uiPriority w:val="22"/>
    <w:qFormat/>
    <w:rPr>
      <w:b/>
      <w:bCs/>
    </w:rPr>
  </w:style>
  <w:style w:type="paragraph" w:styleId="905" w:customStyle="1">
    <w:name w:val="Без интервала1"/>
    <w:pPr>
      <w:spacing w:after="0" w:line="240" w:lineRule="auto"/>
    </w:pPr>
    <w:rPr>
      <w:rFonts w:ascii="Calibri" w:hAnsi="Calibri" w:eastAsia="Calibri" w:cs="Times New Roman"/>
      <w:lang w:eastAsia="ru-RU"/>
    </w:rPr>
  </w:style>
  <w:style w:type="paragraph" w:styleId="906" w:customStyle="1">
    <w:name w:val="Table Paragraph"/>
    <w:basedOn w:val="700"/>
    <w:uiPriority w:val="1"/>
    <w:qFormat/>
    <w:pPr>
      <w:ind w:left="108"/>
      <w:jc w:val="center"/>
      <w:spacing w:after="0" w:line="268" w:lineRule="exact"/>
      <w:widowControl w:val="off"/>
    </w:pPr>
    <w:rPr>
      <w:rFonts w:ascii="Times New Roman" w:hAnsi="Times New Roman" w:eastAsia="Times New Roman" w:cs="Times New Roman"/>
      <w:lang w:eastAsia="ru-RU" w:bidi="ru-RU"/>
    </w:rPr>
  </w:style>
  <w:style w:type="character" w:styleId="907" w:customStyle="1">
    <w:name w:val="Основной текст_"/>
    <w:link w:val="908"/>
    <w:rPr>
      <w:spacing w:val="1"/>
      <w:shd w:val="clear" w:color="auto" w:fill="ffffff"/>
    </w:rPr>
  </w:style>
  <w:style w:type="paragraph" w:styleId="908" w:customStyle="1">
    <w:name w:val="Основной текст3"/>
    <w:basedOn w:val="700"/>
    <w:link w:val="907"/>
    <w:pPr>
      <w:jc w:val="center"/>
      <w:spacing w:after="0" w:line="322" w:lineRule="exact"/>
      <w:shd w:val="clear" w:color="auto" w:fill="ffffff"/>
      <w:widowControl w:val="off"/>
    </w:pPr>
    <w:rPr>
      <w:rFonts w:asciiTheme="minorHAnsi" w:hAnsiTheme="minorHAnsi" w:eastAsiaTheme="minorHAnsi" w:cstheme="minorBidi"/>
      <w:spacing w:val="1"/>
      <w:lang w:eastAsia="en-US"/>
    </w:rPr>
  </w:style>
  <w:style w:type="paragraph" w:styleId="909" w:customStyle="1">
    <w:name w:val="Содержимое таблицы"/>
    <w:basedOn w:val="700"/>
    <w:pPr>
      <w:spacing w:after="0" w:line="240" w:lineRule="auto"/>
      <w:widowControl w:val="off"/>
      <w:suppressLineNumbers/>
    </w:pPr>
    <w:rPr>
      <w:rFonts w:ascii="Liberation Serif" w:hAnsi="Liberation Serif" w:cs="Mangal"/>
      <w:sz w:val="24"/>
      <w:szCs w:val="24"/>
      <w:lang w:eastAsia="zh-CN" w:bidi="hi-IN"/>
    </w:rPr>
  </w:style>
  <w:style w:type="paragraph" w:styleId="910" w:customStyle="1">
    <w:name w:val="Основной текст2"/>
    <w:basedOn w:val="700"/>
    <w:pPr>
      <w:jc w:val="center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  <w:lang w:eastAsia="en-US"/>
    </w:rPr>
  </w:style>
  <w:style w:type="paragraph" w:styleId="911" w:customStyle="1">
    <w:name w:val="Таблицы (моноширинный)"/>
    <w:basedOn w:val="700"/>
    <w:next w:val="700"/>
    <w:pPr>
      <w:jc w:val="both"/>
      <w:spacing w:after="0" w:line="240" w:lineRule="auto"/>
      <w:widowControl w:val="off"/>
    </w:pPr>
    <w:rPr>
      <w:rFonts w:ascii="Courier New" w:hAnsi="Courier New" w:eastAsia="Times New Roman" w:cs="Courier New"/>
      <w:sz w:val="24"/>
      <w:szCs w:val="24"/>
      <w:lang w:eastAsia="ru-RU"/>
    </w:rPr>
  </w:style>
  <w:style w:type="numbering" w:styleId="912" w:customStyle="1">
    <w:name w:val="Стиль1"/>
    <w:uiPriority w:val="99"/>
    <w:pPr>
      <w:numPr>
        <w:ilvl w:val="0"/>
        <w:numId w:val="3"/>
      </w:numPr>
    </w:pPr>
  </w:style>
  <w:style w:type="numbering" w:styleId="913" w:customStyle="1">
    <w:name w:val="Стиль2"/>
    <w:uiPriority w:val="99"/>
    <w:pPr>
      <w:numPr>
        <w:ilvl w:val="0"/>
        <w:numId w:val="4"/>
      </w:numPr>
    </w:pPr>
  </w:style>
  <w:style w:type="character" w:styleId="914" w:customStyle="1">
    <w:name w:val="Цветовое выделение для Текст"/>
    <w:rPr>
      <w:sz w:val="24"/>
    </w:rPr>
  </w:style>
  <w:style w:type="character" w:styleId="915">
    <w:name w:val="FollowedHyperlink"/>
    <w:basedOn w:val="710"/>
    <w:uiPriority w:val="99"/>
    <w:semiHidden/>
    <w:unhideWhenUsed/>
    <w:rPr>
      <w:color w:val="954f72" w:themeColor="followedHyperlink"/>
      <w:u w:val="single"/>
    </w:rPr>
  </w:style>
  <w:style w:type="character" w:styleId="916">
    <w:name w:val="Unresolved Mention"/>
    <w:basedOn w:val="710"/>
    <w:uiPriority w:val="99"/>
    <w:semiHidden/>
    <w:unhideWhenUsed/>
    <w:rPr>
      <w:color w:val="605e5c"/>
      <w:shd w:val="clear" w:color="auto" w:fill="e1dfdd"/>
    </w:rPr>
  </w:style>
  <w:style w:type="character" w:styleId="917">
    <w:name w:val="Emphasis"/>
    <w:uiPriority w:val="20"/>
    <w:qFormat/>
    <w:rPr>
      <w:i/>
      <w:iCs/>
    </w:rPr>
  </w:style>
  <w:style w:type="paragraph" w:styleId="918">
    <w:name w:val="Revision"/>
    <w:hidden/>
    <w:uiPriority w:val="99"/>
    <w:semiHidden/>
    <w:pPr>
      <w:spacing w:after="0" w:line="240" w:lineRule="auto"/>
    </w:pPr>
    <w:rPr>
      <w:rFonts w:ascii="Calibri" w:hAnsi="Calibri" w:eastAsia="SimSun" w:cs="Calibri"/>
      <w:lang w:eastAsia="ar-SA"/>
    </w:rPr>
  </w:style>
  <w:style w:type="paragraph" w:styleId="919">
    <w:name w:val="Body Text 2"/>
    <w:basedOn w:val="700"/>
    <w:link w:val="920"/>
    <w:uiPriority w:val="99"/>
    <w:semiHidden/>
    <w:unhideWhenUsed/>
    <w:pPr>
      <w:spacing w:after="120" w:line="480" w:lineRule="auto"/>
    </w:pPr>
  </w:style>
  <w:style w:type="character" w:styleId="920" w:customStyle="1">
    <w:name w:val="Основной текст 2 Знак"/>
    <w:basedOn w:val="710"/>
    <w:link w:val="919"/>
    <w:uiPriority w:val="99"/>
    <w:semiHidden/>
    <w:rPr>
      <w:rFonts w:ascii="Calibri" w:hAnsi="Calibri" w:eastAsia="SimSun" w:cs="Calibri"/>
      <w:lang w:eastAsia="ar-SA"/>
    </w:rPr>
  </w:style>
  <w:style w:type="paragraph" w:styleId="921" w:customStyle="1">
    <w:name w:val="msonospacingmrcssattr_mr_css_attr"/>
    <w:basedOn w:val="70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 w:customStyle="1">
    <w:name w:val="Нормальный"/>
    <w:basedOn w:val="700"/>
    <w:pPr>
      <w:ind w:firstLine="720"/>
      <w:jc w:val="both"/>
      <w:spacing w:after="0" w:line="240" w:lineRule="auto"/>
    </w:pPr>
    <w:rPr>
      <w:rFonts w:ascii="Times New Roman" w:hAnsi="Times New Roman" w:eastAsia="Times New Roman" w:cs="Times New Roman"/>
      <w:sz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hart" Target="charts/chart1.xml" /><Relationship Id="rId12" Type="http://schemas.openxmlformats.org/officeDocument/2006/relationships/chart" Target="charts/chart2.xml" /><Relationship Id="rId13" Type="http://schemas.openxmlformats.org/officeDocument/2006/relationships/chart" Target="charts/chart3.xml" /><Relationship Id="rId14" Type="http://schemas.openxmlformats.org/officeDocument/2006/relationships/chart" Target="charts/chart4.xml" /><Relationship Id="rId15" Type="http://schemas.openxmlformats.org/officeDocument/2006/relationships/chart" Target="charts/chart5.xml" /><Relationship Id="rId16" Type="http://schemas.openxmlformats.org/officeDocument/2006/relationships/chart" Target="charts/chart6.xml" /><Relationship Id="rId17" Type="http://schemas.openxmlformats.org/officeDocument/2006/relationships/chart" Target="charts/chart7.xml" /><Relationship Id="rId18" Type="http://schemas.openxmlformats.org/officeDocument/2006/relationships/chart" Target="charts/chart8.xml" /><Relationship Id="rId19" Type="http://schemas.openxmlformats.org/officeDocument/2006/relationships/chart" Target="charts/chart9.xml" /><Relationship Id="rId20" Type="http://schemas.openxmlformats.org/officeDocument/2006/relationships/chart" Target="charts/chart10.xml" /><Relationship Id="rId21" Type="http://schemas.openxmlformats.org/officeDocument/2006/relationships/chart" Target="charts/chart11.xml" /><Relationship Id="rId22" Type="http://schemas.openxmlformats.org/officeDocument/2006/relationships/chart" Target="charts/chart12.xml" /><Relationship Id="rId23" Type="http://schemas.openxmlformats.org/officeDocument/2006/relationships/chart" Target="charts/chart13.xml" /><Relationship Id="rId24" Type="http://schemas.openxmlformats.org/officeDocument/2006/relationships/chart" Target="charts/chart14.xml" /><Relationship Id="rId25" Type="http://schemas.openxmlformats.org/officeDocument/2006/relationships/chart" Target="charts/chart15.xml" /><Relationship Id="rId26" Type="http://schemas.openxmlformats.org/officeDocument/2006/relationships/chart" Target="charts/chart16.xml" /><Relationship Id="rId27" Type="http://schemas.openxmlformats.org/officeDocument/2006/relationships/chart" Target="charts/chart17.xml" /><Relationship Id="rId28" Type="http://schemas.openxmlformats.org/officeDocument/2006/relationships/chart" Target="charts/chart18.xml" /><Relationship Id="rId29" Type="http://schemas.openxmlformats.org/officeDocument/2006/relationships/chart" Target="charts/chart19.xml" /><Relationship Id="rId30" Type="http://schemas.openxmlformats.org/officeDocument/2006/relationships/chart" Target="charts/chart20.xml" /><Relationship Id="rId31" Type="http://schemas.openxmlformats.org/officeDocument/2006/relationships/chart" Target="charts/chart2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charts/_rels/chart1.xml.rels><?xml version="1.0" encoding="UTF-8" standalone="yes"?><Relationships xmlns="http://schemas.openxmlformats.org/package/2006/relationships"><Relationship Id="rId1" Type="http://schemas.openxmlformats.org/officeDocument/2006/relationships/themeOverride" Target="../theme/themeOverride1.xml" /><Relationship Id="rId2" Type="http://schemas.openxmlformats.org/officeDocument/2006/relationships/package" Target="../embeddings/Microsoft_Excel_Worksheet1.xlsx" /></Relationships>
</file>

<file path=word/charts/_rels/chart10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0.xlsx" /></Relationships>
</file>

<file path=word/charts/_rels/chart11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1.xlsx" /></Relationships>
</file>

<file path=word/charts/_rels/chart12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2.xlsx" /></Relationships>
</file>

<file path=word/charts/_rels/chart13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3.xlsx" /></Relationships>
</file>

<file path=word/charts/_rels/chart14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4.xlsx" /></Relationships>
</file>

<file path=word/charts/_rels/chart15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5.xlsx" /></Relationships>
</file>

<file path=word/charts/_rels/chart16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6.xlsx" /></Relationships>
</file>

<file path=word/charts/_rels/chart17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7.xlsx" /></Relationships>
</file>

<file path=word/charts/_rels/chart18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8.xlsx" /></Relationships>
</file>

<file path=word/charts/_rels/chart19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9.xlsx" /></Relationships>
</file>

<file path=word/charts/_rels/chart2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2.xlsx" /></Relationships>
</file>

<file path=word/charts/_rels/chart20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20.xlsx" /></Relationships>
</file>

<file path=word/charts/_rels/chart21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21.xlsx" /></Relationships>
</file>

<file path=word/charts/_rels/chart3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3.xlsx" /></Relationships>
</file>

<file path=word/charts/_rels/chart4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4.xlsx" /></Relationships>
</file>

<file path=word/charts/_rels/chart5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5.xlsx" /></Relationships>
</file>

<file path=word/charts/_rels/chart6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6.xlsx" /></Relationships>
</file>

<file path=word/charts/_rels/chart7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7.xlsx" /></Relationships>
</file>

<file path=word/charts/_rels/chart8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8.xlsx" /></Relationships>
</file>

<file path=word/charts/_rels/chart9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9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20248"/>
          <c:y val="0.39987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  <c:explosion val="3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119656"/>
                  <c:y val="0.02005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1"/>
              <c:layout>
                <c:manualLayout>
                  <c:x val="0.092207"/>
                  <c:y val="0.03163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3"/>
              <c:dLblPos val="bestFit"/>
              <c:layout>
                <c:manualLayout>
                  <c:x val="-0.066644"/>
                  <c:y val="-0.00448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1">
                  <c:v xml:space="preserve">Услуга отсутствует</c:v>
                </c:pt>
                <c:pt idx="2">
                  <c:v>Достаточно</c:v>
                </c:pt>
                <c:pt idx="3">
                  <c:v>мало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16</c:v>
                </c:pt>
                <c:pt idx="2">
                  <c:v>265</c:v>
                </c:pt>
                <c:pt idx="3">
                  <c:v>72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586674"/>
          <c:y val="0.260990"/>
          <c:w val="0.395859"/>
          <c:h val="0.638427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40</c:v>
                </c:pt>
                <c:pt idx="1">
                  <c:v>110</c:v>
                </c:pt>
                <c:pt idx="2">
                  <c:v>71</c:v>
                </c:pt>
                <c:pt idx="3">
                  <c:v>124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1"/>
          <c:y val="0.30590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-0.002398"/>
                  <c:y val="0.038416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120</c:v>
                </c:pt>
                <c:pt idx="1">
                  <c:v>26</c:v>
                </c:pt>
                <c:pt idx="2">
                  <c:v>208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634762"/>
          <c:y val="0.227978"/>
          <c:w val="0.349582"/>
          <c:h val="0.568604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59</c:v>
                </c:pt>
                <c:pt idx="1">
                  <c:v>120</c:v>
                </c:pt>
                <c:pt idx="2">
                  <c:v>63</c:v>
                </c:pt>
                <c:pt idx="3">
                  <c:v>113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1"/>
          <c:y val="0.30590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70183"/>
                  <c:y val="0.10084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92</c:v>
                </c:pt>
                <c:pt idx="1">
                  <c:v>28</c:v>
                </c:pt>
                <c:pt idx="2">
                  <c:v>231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671042"/>
          <c:y val="0.239954"/>
          <c:w val="0.300837"/>
          <c:h val="0.619043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9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53</c:v>
                </c:pt>
                <c:pt idx="1">
                  <c:v>109</c:v>
                </c:pt>
                <c:pt idx="2">
                  <c:v>70</c:v>
                </c:pt>
                <c:pt idx="3">
                  <c:v>123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1"/>
          <c:y val="0.30590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09718"/>
                  <c:y val="-0.103747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97</c:v>
                </c:pt>
                <c:pt idx="1">
                  <c:v>113</c:v>
                </c:pt>
                <c:pt idx="2">
                  <c:v>141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/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34</c:v>
                </c:pt>
                <c:pt idx="1">
                  <c:v>83</c:v>
                </c:pt>
                <c:pt idx="2">
                  <c:v>52</c:v>
                </c:pt>
                <c:pt idx="3">
                  <c:v>179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1"/>
          <c:y val="0.30590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39306"/>
                  <c:y val="0.040908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65</c:v>
                </c:pt>
                <c:pt idx="1">
                  <c:v>11</c:v>
                </c:pt>
                <c:pt idx="2">
                  <c:v>275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/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61</c:v>
                </c:pt>
                <c:pt idx="1">
                  <c:v>124</c:v>
                </c:pt>
                <c:pt idx="2">
                  <c:v>81</c:v>
                </c:pt>
                <c:pt idx="3">
                  <c:v>85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1"/>
          <c:y val="0.30590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14511"/>
                  <c:y val="0.01740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4"/>
              <c:layout>
                <c:manualLayout>
                  <c:x val="0.004754"/>
                  <c:y val="-0.027048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81</c:v>
                </c:pt>
                <c:pt idx="1">
                  <c:v>17</c:v>
                </c:pt>
                <c:pt idx="2">
                  <c:v>253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/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93691"/>
                  <c:y val="0.22083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43</c:v>
                </c:pt>
                <c:pt idx="1">
                  <c:v>114</c:v>
                </c:pt>
                <c:pt idx="2">
                  <c:v>56</c:v>
                </c:pt>
                <c:pt idx="3">
                  <c:v>48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не изменился</c:v>
                </c:pt>
                <c:pt idx="2">
                  <c:v xml:space="preserve">Уровень повысился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27</c:v>
                </c:pt>
                <c:pt idx="1">
                  <c:v>64</c:v>
                </c:pt>
                <c:pt idx="2">
                  <c:v>150</c:v>
                </c:pt>
                <c:pt idx="3">
                  <c:v>110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spc="0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Times New Roman"/>
                <a:cs typeface="Times New Roman"/>
              </a:rPr>
              <a:t>Меры повышения конкурентоспособности  </a:t>
            </a:r>
            <a:br>
              <a:rPr lang="ru-RU">
                <a:solidFill>
                  <a:sysClr val="windowText" lastClr="000000"/>
                </a:solidFill>
                <a:latin typeface="Times New Roman"/>
                <a:cs typeface="Times New Roman"/>
              </a:rPr>
            </a:br>
            <a:r>
              <a:rPr lang="ru-RU" sz="1000">
                <a:solidFill>
                  <a:sysClr val="windowText" lastClr="000000"/>
                </a:solidFill>
                <a:latin typeface="Times New Roman"/>
                <a:cs typeface="Times New Roman"/>
              </a:rPr>
              <a:t>(количество организаций)</a:t>
            </a:r>
            <a:endParaRPr lang="ru-RU"/>
          </a:p>
        </c:rich>
      </c:tx>
      <c:layout>
        <c:manualLayout>
          <c:xMode val="edge"/>
          <c:yMode val="edge"/>
          <c:x val="0.232598"/>
          <c:y val="0.023810"/>
        </c:manualLayout>
      </c:layout>
      <c:overlay val="0"/>
      <c:spPr bwMode="auto">
        <a:prstGeom prst="rect">
          <a:avLst/>
        </a:prstGeom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Меры повышения конкурентоспособности  (количество организаций)</c:v>
                </c:pt>
              </c:strCache>
            </c:strRef>
          </c:tx>
          <c:spPr bwMode="auto">
            <a:prstGeom prst="rect">
              <a:avLst/>
            </a:prstGeom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Pos val="outEnd"/>
            <c:showBubbleSize val="0"/>
            <c:showCatName val="0"/>
            <c:showLeaderLines val="0"/>
            <c:showLegendKey val="0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</c:dLbls>
          <c:cat>
            <c:strRef>
              <c:f>Лист1!$A$2:$A$11</c:f>
              <c:strCache>
                <c:ptCount val="10"/>
                <c:pt idx="0">
                  <c:v xml:space="preserve">Новые способы продвижения продукции (маркетинговые стратегии)</c:v>
                </c:pt>
                <c:pt idx="1">
                  <c:v xml:space="preserve">Не предпринималось никаких действий</c:v>
                </c:pt>
                <c:pt idx="2">
                  <c:v xml:space="preserve">Приобретение технологий, патентов, лицензий, ноу-хау</c:v>
                </c:pt>
                <c:pt idx="3">
                  <c:v xml:space="preserve">Выход на новые географические рынки</c:v>
                </c:pt>
                <c:pt idx="4">
                  <c:v xml:space="preserve">Сокращение затрат на производство/ реализацию продукции (не снижая при этом объема производства/ реализации продукции)</c:v>
                </c:pt>
                <c:pt idx="5">
                  <c:v xml:space="preserve">Выход на новые продуктовые рынки (реализация полностью нового для бизнеса товара/ работы/ услуги)</c:v>
                </c:pt>
                <c:pt idx="6">
                  <c:v xml:space="preserve">Самостоятельное проведение НИОКР (Научно-исследовательские и опытно-конструкторские работы)</c:v>
                </c:pt>
                <c:pt idx="7">
                  <c:v xml:space="preserve">Развитие и расширение системы представительств (торговой сети, сети филиалов и пр.)</c:v>
                </c:pt>
                <c:pt idx="8">
                  <c:v xml:space="preserve">Обучение и переподготовка персонала</c:v>
                </c:pt>
                <c:pt idx="9">
                  <c:v xml:space="preserve">Разработка новых модефикаций и форм  производимой продукции, расширение ассортимента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23</c:v>
                </c:pt>
                <c:pt idx="1">
                  <c:v>2</c:v>
                </c:pt>
                <c:pt idx="2">
                  <c:v>22</c:v>
                </c:pt>
                <c:pt idx="3">
                  <c:v>16</c:v>
                </c:pt>
                <c:pt idx="4">
                  <c:v>23</c:v>
                </c:pt>
                <c:pt idx="5">
                  <c:v>7</c:v>
                </c:pt>
                <c:pt idx="6">
                  <c:v>6</c:v>
                </c:pt>
                <c:pt idx="7">
                  <c:v>7</c:v>
                </c:pt>
                <c:pt idx="8">
                  <c:v>22</c:v>
                </c:pt>
                <c:pt idx="9">
                  <c:v>9</c:v>
                </c:pt>
              </c:numCache>
            </c:numRef>
          </c:val>
        </c:ser>
        <c:dLbls>
          <c:dLblPos val="outEnd"/>
          <c:showBubbleSize val="0"/>
          <c:showCatName val="0"/>
          <c:showLeaderLines val="0"/>
          <c:showLegendKey val="0"/>
          <c:showPercent val="0"/>
          <c:showSerName val="0"/>
          <c:showVal val="1"/>
        </c:dLbls>
        <c:gapWidth val="182"/>
        <c:axId val="638966088"/>
        <c:axId val="638968832"/>
      </c:barChart>
      <c:catAx>
        <c:axId val="638966088"/>
        <c:scaling>
          <c:orientation val="minMax"/>
        </c:scaling>
        <c:delete val="0"/>
        <c:axPos val="l"/>
        <c:majorGridlines>
          <c:spPr bwMode="auto">
            <a:prstGeom prst="rect">
              <a:avLst/>
            </a:prstGeom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 bwMode="auto">
          <a:prstGeom prst="rect">
            <a:avLst/>
          </a:prstGeom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0"/>
          <a:lstStyle/>
          <a:p>
            <a:pPr>
              <a:defRPr sz="800" b="0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/>
          </a:p>
        </c:txPr>
        <c:crossAx val="638968832"/>
        <c:crosses val="autoZero"/>
        <c:auto val="1"/>
        <c:lblAlgn val="ctr"/>
        <c:lblOffset val="10"/>
        <c:tickLblSkip val="1"/>
        <c:noMultiLvlLbl val="0"/>
      </c:catAx>
      <c:valAx>
        <c:axId val="638968832"/>
        <c:scaling>
          <c:orientation val="minMax"/>
        </c:scaling>
        <c:delete val="0"/>
        <c:axPos val="b"/>
        <c:majorGridlines>
          <c:spPr bwMode="auto">
            <a:prstGeom prst="rect">
              <a:avLst/>
            </a:prstGeom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 bwMode="auto">
          <a:prstGeom prst="rect">
            <a:avLst/>
          </a:prstGeom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>
                <a:solidFill>
                  <a:sysClr val="windowText" lastClr="000000"/>
                </a:solidFill>
                <a:latin typeface="Times New Roman"/>
                <a:ea typeface="+mn-ea"/>
                <a:cs typeface="Times New Roman"/>
              </a:defRPr>
            </a:pPr>
            <a:endParaRPr lang="ru-RU"/>
          </a:p>
        </c:txPr>
        <c:crossAx val="638966088"/>
        <c:crosses val="autoZero"/>
        <c:crossBetween val="between"/>
      </c:valAx>
      <c:spPr bwMode="auto">
        <a:prstGeom prst="rect">
          <a:avLst/>
        </a:prstGeom>
        <a:noFill/>
        <a:ln>
          <a:noFill/>
        </a:ln>
        <a:effectLst/>
      </c:spPr>
    </c:plotArea>
    <c:plotVisOnly val="1"/>
    <c:dispBlanksAs val="gap"/>
    <c:showDLblsOverMax val="0"/>
  </c:chart>
  <c:spPr bwMode="auto">
    <a:prstGeom prst="rect">
      <a:avLst/>
    </a:prstGeom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19297"/>
          <c:y val="0.451561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49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76649"/>
                  <c:y val="-0.14119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3"/>
              <c:dLblPos val="bestFit"/>
              <c:layout>
                <c:manualLayout>
                  <c:x val="-0.002439"/>
                  <c:y val="-0.010971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80</c:v>
                </c:pt>
                <c:pt idx="1">
                  <c:v>18</c:v>
                </c:pt>
                <c:pt idx="2">
                  <c:v>253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79296"/>
          <c:y val="0.096120"/>
          <c:w val="0.217800"/>
          <c:h val="0.570224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не изменился</c:v>
                </c:pt>
                <c:pt idx="2">
                  <c:v xml:space="preserve">Уровень повысился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63</c:v>
                </c:pt>
                <c:pt idx="1">
                  <c:v>75</c:v>
                </c:pt>
                <c:pt idx="2">
                  <c:v>132</c:v>
                </c:pt>
                <c:pt idx="3">
                  <c:v>81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1"/>
          <c:y val="0.30590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-0.031728"/>
                  <c:y val="0.003658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97</c:v>
                </c:pt>
                <c:pt idx="1">
                  <c:v>19</c:v>
                </c:pt>
                <c:pt idx="2">
                  <c:v>235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598082"/>
          <c:y val="0.326589"/>
          <c:w val="0.384933"/>
          <c:h val="0.628303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повысился</c:v>
                </c:pt>
                <c:pt idx="1">
                  <c:v xml:space="preserve">Уровень снизился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109</c:v>
                </c:pt>
                <c:pt idx="1">
                  <c:v>82</c:v>
                </c:pt>
                <c:pt idx="2">
                  <c:v>87</c:v>
                </c:pt>
                <c:pt idx="3">
                  <c:v>69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1"/>
          <c:y val="0.30590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02098"/>
                  <c:y val="0.034997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141</c:v>
                </c:pt>
                <c:pt idx="1">
                  <c:v>22</c:v>
                </c:pt>
                <c:pt idx="2">
                  <c:v>188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588716"/>
          <c:y val="0.339929"/>
          <c:w val="0.394262"/>
          <c:h val="0.57997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9"/>
          <c:y val="0.367802"/>
          <c:w val="0.696527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8"/>
                  <c:y val="-0.02781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30897"/>
                  <c:y val="-0.036873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не изменился</c:v>
                </c:pt>
                <c:pt idx="2">
                  <c:v xml:space="preserve">Уровень повысился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79</c:v>
                </c:pt>
                <c:pt idx="1">
                  <c:v>83</c:v>
                </c:pt>
                <c:pt idx="2">
                  <c:v>103</c:v>
                </c:pt>
                <c:pt idx="3">
                  <c:v>90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8"/>
          <c:y val="0.195068"/>
          <c:w val="0.412695"/>
          <c:h val="0.665192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1"/>
          <c:y val="0.012121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1"/>
          <c:y val="0.305903"/>
          <c:w val="0.650548"/>
          <c:h val="0.4723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-0.009817"/>
                  <c:y val="0.023969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112</c:v>
                </c:pt>
                <c:pt idx="1">
                  <c:v>19</c:v>
                </c:pt>
                <c:pt idx="2">
                  <c:v>218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597104"/>
          <c:y val="0.219509"/>
          <c:w val="0.385118"/>
          <c:h val="0.730156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 xmlns:r="http://schemas.openxmlformats.org/officeDocument/2006/relationships" xmlns:p="http://schemas.openxmlformats.org/presentation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gradFill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/>
      </a:gradFill>
      <a:gradFill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/>
      </a:gradFill>
    </a:bgFillStyleLst>
  </a:fmtScheme>
</a:themeOverrid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C46C3-6D92-45D9-ABFE-62B07183D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revision>334</cp:revision>
  <dcterms:created xsi:type="dcterms:W3CDTF">2021-12-14T10:27:00Z</dcterms:created>
  <dcterms:modified xsi:type="dcterms:W3CDTF">2025-02-04T09:54:22Z</dcterms:modified>
</cp:coreProperties>
</file>