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8000000">
      <w:pPr>
        <w:widowControl w:val="1"/>
        <w:ind w:right="94"/>
        <w:rPr>
          <w:sz w:val="28"/>
        </w:rPr>
      </w:pPr>
      <w:r>
        <w:rPr>
          <w:sz w:val="28"/>
        </w:rPr>
        <w:t xml:space="preserve">                         </w:t>
      </w:r>
      <w:r>
        <w:rPr>
          <w:sz w:val="28"/>
        </w:rPr>
        <w:t xml:space="preserve">              </w:t>
      </w:r>
    </w:p>
    <w:p w14:paraId="09000000">
      <w:pPr>
        <w:widowControl w:val="1"/>
        <w:ind w:left="5529" w:right="9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Заместителю главы </w:t>
      </w:r>
      <w:r>
        <w:rPr>
          <w:rFonts w:ascii="Times New Roman" w:hAnsi="Times New Roman"/>
          <w:sz w:val="28"/>
        </w:rPr>
        <w:t xml:space="preserve">Ленинградского муниципального </w:t>
      </w:r>
      <w:r>
        <w:rPr>
          <w:rFonts w:ascii="Times New Roman" w:hAnsi="Times New Roman"/>
          <w:sz w:val="28"/>
        </w:rPr>
        <w:t xml:space="preserve">округа, начальнику отдела </w:t>
      </w:r>
      <w:r>
        <w:rPr>
          <w:rFonts w:ascii="Times New Roman" w:hAnsi="Times New Roman"/>
          <w:sz w:val="28"/>
        </w:rPr>
        <w:t xml:space="preserve">имущественных отношений </w:t>
      </w:r>
      <w:r>
        <w:rPr>
          <w:rFonts w:ascii="Times New Roman" w:hAnsi="Times New Roman"/>
          <w:sz w:val="28"/>
        </w:rPr>
        <w:t>администрации</w:t>
      </w:r>
      <w:r>
        <w:rPr>
          <w:rFonts w:ascii="Times New Roman" w:hAnsi="Times New Roman"/>
          <w:sz w:val="28"/>
        </w:rPr>
        <w:t xml:space="preserve"> </w:t>
      </w:r>
    </w:p>
    <w:p w14:paraId="0A000000">
      <w:pPr>
        <w:widowControl w:val="1"/>
        <w:ind w:left="5529" w:right="94"/>
        <w:rPr>
          <w:rFonts w:ascii="Times New Roman" w:hAnsi="Times New Roman"/>
          <w:sz w:val="28"/>
        </w:rPr>
      </w:pPr>
    </w:p>
    <w:p w14:paraId="0B000000">
      <w:pPr>
        <w:widowControl w:val="1"/>
        <w:ind w:left="5529" w:right="9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Тоцкой Р.Г.</w:t>
      </w:r>
    </w:p>
    <w:p w14:paraId="0C000000">
      <w:pPr>
        <w:widowControl w:val="1"/>
        <w:ind w:right="94"/>
        <w:rPr>
          <w:sz w:val="28"/>
        </w:rPr>
      </w:pPr>
      <w:r>
        <w:rPr>
          <w:sz w:val="28"/>
        </w:rPr>
        <w:t xml:space="preserve"> </w:t>
      </w:r>
    </w:p>
    <w:p w14:paraId="0D000000">
      <w:pPr>
        <w:widowControl w:val="1"/>
        <w:ind w:right="94"/>
        <w:jc w:val="center"/>
        <w:rPr>
          <w:b w:val="1"/>
          <w:sz w:val="28"/>
        </w:rPr>
      </w:pPr>
      <w:r>
        <w:rPr>
          <w:b w:val="1"/>
          <w:sz w:val="28"/>
        </w:rPr>
        <w:t>Заключение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 xml:space="preserve">№ 14 </w:t>
      </w:r>
      <w:r>
        <w:rPr>
          <w:b w:val="1"/>
          <w:sz w:val="28"/>
        </w:rPr>
        <w:t>от 3 сентября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20</w:t>
      </w:r>
      <w:r>
        <w:rPr>
          <w:b w:val="1"/>
          <w:sz w:val="28"/>
        </w:rPr>
        <w:t>26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г</w:t>
      </w:r>
      <w:r>
        <w:rPr>
          <w:b w:val="1"/>
          <w:sz w:val="28"/>
        </w:rPr>
        <w:t>.</w:t>
      </w:r>
    </w:p>
    <w:p w14:paraId="0E000000">
      <w:pPr>
        <w:widowControl w:val="1"/>
        <w:ind/>
        <w:jc w:val="center"/>
        <w:rPr>
          <w:sz w:val="28"/>
        </w:rPr>
      </w:pPr>
      <w:r>
        <w:rPr>
          <w:sz w:val="28"/>
        </w:rPr>
        <w:t xml:space="preserve">об оценке регулирующего воздействия </w:t>
      </w:r>
      <w:r>
        <w:rPr>
          <w:sz w:val="28"/>
        </w:rPr>
        <w:t xml:space="preserve">проекта </w:t>
      </w:r>
    </w:p>
    <w:p w14:paraId="0F000000">
      <w:pPr>
        <w:widowControl w:val="1"/>
        <w:ind/>
        <w:jc w:val="center"/>
        <w:rPr>
          <w:sz w:val="28"/>
        </w:rPr>
      </w:pPr>
      <w:r>
        <w:rPr>
          <w:sz w:val="28"/>
        </w:rPr>
        <w:t>постановления администрации муниципального образования Ленинградский муниципальный округ Краснодарского края «</w:t>
      </w:r>
      <w:r>
        <w:rPr>
          <w:rFonts w:ascii="Times New Roman" w:hAnsi="Times New Roman"/>
          <w:b w:val="0"/>
          <w:sz w:val="28"/>
        </w:rPr>
        <w:t xml:space="preserve">Об утверждении административного регламента предоставления </w:t>
      </w:r>
      <w:r>
        <w:rPr>
          <w:rFonts w:ascii="Times New Roman" w:hAnsi="Times New Roman"/>
          <w:b w:val="0"/>
          <w:sz w:val="28"/>
        </w:rPr>
        <w:t xml:space="preserve">муниципальной услуги «Заключение соглашения о перераспределении </w:t>
      </w:r>
      <w:r>
        <w:rPr>
          <w:rFonts w:ascii="Times New Roman" w:hAnsi="Times New Roman"/>
          <w:b w:val="0"/>
          <w:sz w:val="28"/>
        </w:rPr>
        <w:t xml:space="preserve">земель и (или) земельных участков, находящихся в государственной </w:t>
      </w:r>
      <w:r>
        <w:rPr>
          <w:rFonts w:ascii="Times New Roman" w:hAnsi="Times New Roman"/>
          <w:b w:val="0"/>
          <w:sz w:val="28"/>
        </w:rPr>
        <w:t xml:space="preserve">или </w:t>
      </w:r>
      <w:r>
        <w:rPr>
          <w:rFonts w:ascii="Times New Roman" w:hAnsi="Times New Roman"/>
          <w:b w:val="0"/>
          <w:sz w:val="28"/>
        </w:rPr>
        <w:t xml:space="preserve">муниципальной собственности, и земельных участков, находящихся в </w:t>
      </w:r>
      <w:r>
        <w:rPr>
          <w:rFonts w:ascii="Times New Roman" w:hAnsi="Times New Roman"/>
          <w:b w:val="0"/>
          <w:sz w:val="28"/>
        </w:rPr>
        <w:t>частной собственности</w:t>
      </w:r>
      <w:r>
        <w:rPr>
          <w:sz w:val="28"/>
        </w:rPr>
        <w:t xml:space="preserve">» </w:t>
      </w:r>
    </w:p>
    <w:p w14:paraId="10000000">
      <w:pPr>
        <w:widowControl w:val="1"/>
        <w:ind/>
        <w:jc w:val="center"/>
        <w:outlineLvl w:val="0"/>
        <w:rPr>
          <w:b w:val="1"/>
          <w:sz w:val="28"/>
        </w:rPr>
      </w:pPr>
    </w:p>
    <w:p w14:paraId="11000000">
      <w:pPr>
        <w:widowControl w:val="1"/>
        <w:ind/>
        <w:jc w:val="both"/>
        <w:outlineLvl w:val="0"/>
        <w:rPr>
          <w:sz w:val="28"/>
        </w:rPr>
      </w:pPr>
      <w:r>
        <w:rPr>
          <w:sz w:val="28"/>
        </w:rPr>
        <w:tab/>
      </w:r>
      <w:r>
        <w:rPr>
          <w:sz w:val="28"/>
        </w:rPr>
        <w:t>Отдел экономики</w:t>
      </w:r>
      <w:r>
        <w:rPr>
          <w:sz w:val="28"/>
        </w:rPr>
        <w:t xml:space="preserve"> </w:t>
      </w:r>
      <w:r>
        <w:rPr>
          <w:sz w:val="28"/>
        </w:rPr>
        <w:t xml:space="preserve">администрации </w:t>
      </w:r>
      <w:r>
        <w:rPr>
          <w:sz w:val="28"/>
        </w:rPr>
        <w:t xml:space="preserve">Ленинградского </w:t>
      </w:r>
      <w:r>
        <w:rPr>
          <w:sz w:val="28"/>
        </w:rPr>
        <w:t>муниципального о</w:t>
      </w:r>
      <w:r>
        <w:rPr>
          <w:sz w:val="28"/>
        </w:rPr>
        <w:t>круга</w:t>
      </w:r>
      <w:r>
        <w:rPr>
          <w:sz w:val="28"/>
        </w:rPr>
        <w:t xml:space="preserve">, как уполномоченный орган по проведению оценки регулирующего воздействия проектов муниципальных нормативных правовых актов </w:t>
      </w:r>
      <w:r>
        <w:rPr>
          <w:sz w:val="28"/>
        </w:rPr>
        <w:t xml:space="preserve">Ленинградского </w:t>
      </w:r>
      <w:r>
        <w:rPr>
          <w:sz w:val="28"/>
        </w:rPr>
        <w:t xml:space="preserve">муниципального </w:t>
      </w:r>
      <w:r>
        <w:rPr>
          <w:sz w:val="28"/>
        </w:rPr>
        <w:t>о</w:t>
      </w:r>
      <w:r>
        <w:rPr>
          <w:sz w:val="28"/>
        </w:rPr>
        <w:t>круга</w:t>
      </w:r>
      <w:r>
        <w:rPr>
          <w:sz w:val="28"/>
        </w:rPr>
        <w:t xml:space="preserve">, </w:t>
      </w:r>
      <w:r>
        <w:rPr>
          <w:sz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</w:t>
      </w:r>
      <w:r>
        <w:rPr>
          <w:sz w:val="28"/>
        </w:rPr>
        <w:t xml:space="preserve"> </w:t>
      </w:r>
      <w:r>
        <w:rPr>
          <w:sz w:val="28"/>
        </w:rPr>
        <w:t xml:space="preserve">инвестиционной </w:t>
      </w:r>
      <w:r>
        <w:rPr>
          <w:sz w:val="28"/>
        </w:rPr>
        <w:t xml:space="preserve">деятельности </w:t>
      </w:r>
      <w:r>
        <w:rPr>
          <w:sz w:val="28"/>
        </w:rPr>
        <w:t>(далее – Уполномоченный орган), рассмотрел поступивший</w:t>
      </w:r>
      <w:r>
        <w:rPr>
          <w:sz w:val="28"/>
        </w:rPr>
        <w:t xml:space="preserve"> 14 августа</w:t>
      </w:r>
      <w:r>
        <w:rPr>
          <w:sz w:val="28"/>
        </w:rPr>
        <w:t xml:space="preserve"> </w:t>
      </w:r>
      <w:r>
        <w:rPr>
          <w:sz w:val="28"/>
        </w:rPr>
        <w:t>2026</w:t>
      </w:r>
      <w:r>
        <w:rPr>
          <w:sz w:val="28"/>
        </w:rPr>
        <w:t xml:space="preserve"> г. </w:t>
      </w:r>
      <w:r>
        <w:rPr>
          <w:sz w:val="28"/>
        </w:rPr>
        <w:t xml:space="preserve">проект </w:t>
      </w:r>
      <w:r>
        <w:rPr>
          <w:sz w:val="28"/>
        </w:rPr>
        <w:t>постановления администраци</w:t>
      </w:r>
      <w:r>
        <w:rPr>
          <w:sz w:val="28"/>
        </w:rPr>
        <w:t xml:space="preserve">и </w:t>
      </w:r>
      <w:r>
        <w:rPr>
          <w:sz w:val="28"/>
        </w:rPr>
        <w:t xml:space="preserve">муниципального образования Ленинградский муниципальный округ </w:t>
      </w:r>
      <w:r>
        <w:rPr>
          <w:sz w:val="28"/>
        </w:rPr>
        <w:t>Краснодарского края</w:t>
      </w:r>
      <w:r>
        <w:rPr>
          <w:sz w:val="28"/>
        </w:rPr>
        <w:t xml:space="preserve"> «</w:t>
      </w:r>
      <w:r>
        <w:rPr>
          <w:rFonts w:ascii="Times New Roman" w:hAnsi="Times New Roman"/>
          <w:b w:val="0"/>
          <w:sz w:val="28"/>
        </w:rPr>
        <w:t xml:space="preserve">Об утверждении административного регламента предоставления </w:t>
      </w:r>
      <w:r>
        <w:rPr>
          <w:rFonts w:ascii="Times New Roman" w:hAnsi="Times New Roman"/>
          <w:b w:val="0"/>
          <w:sz w:val="28"/>
        </w:rPr>
        <w:t xml:space="preserve">муниципальной услуги «Заключение соглашения о перераспределении </w:t>
      </w:r>
      <w:r>
        <w:rPr>
          <w:rFonts w:ascii="Times New Roman" w:hAnsi="Times New Roman"/>
          <w:b w:val="0"/>
          <w:sz w:val="28"/>
        </w:rPr>
        <w:t xml:space="preserve">земель и (или) земельных участков, находящихся в государственной </w:t>
      </w:r>
      <w:r>
        <w:rPr>
          <w:rFonts w:ascii="Times New Roman" w:hAnsi="Times New Roman"/>
          <w:b w:val="0"/>
          <w:sz w:val="28"/>
        </w:rPr>
        <w:t xml:space="preserve">или </w:t>
      </w:r>
      <w:r>
        <w:rPr>
          <w:rFonts w:ascii="Times New Roman" w:hAnsi="Times New Roman"/>
          <w:b w:val="0"/>
          <w:sz w:val="28"/>
        </w:rPr>
        <w:t xml:space="preserve">муниципальной собственности, и земельных участков, находящихся в </w:t>
      </w:r>
      <w:r>
        <w:rPr>
          <w:rFonts w:ascii="Times New Roman" w:hAnsi="Times New Roman"/>
          <w:b w:val="0"/>
          <w:sz w:val="28"/>
        </w:rPr>
        <w:t>частной собственности</w:t>
      </w:r>
      <w:bookmarkStart w:id="1" w:name="_GoBack"/>
      <w:bookmarkEnd w:id="1"/>
      <w:r>
        <w:rPr>
          <w:sz w:val="28"/>
        </w:rPr>
        <w:t xml:space="preserve">» </w:t>
      </w:r>
      <w:r>
        <w:rPr>
          <w:sz w:val="28"/>
        </w:rPr>
        <w:t xml:space="preserve">(далее – </w:t>
      </w:r>
      <w:r>
        <w:rPr>
          <w:sz w:val="28"/>
        </w:rPr>
        <w:t>П</w:t>
      </w:r>
      <w:r>
        <w:rPr>
          <w:sz w:val="28"/>
        </w:rPr>
        <w:t>роект</w:t>
      </w:r>
      <w:r>
        <w:rPr>
          <w:sz w:val="28"/>
        </w:rPr>
        <w:t>)</w:t>
      </w:r>
      <w:r>
        <w:rPr>
          <w:sz w:val="28"/>
        </w:rPr>
        <w:t xml:space="preserve">, направленный </w:t>
      </w:r>
      <w:r>
        <w:rPr>
          <w:rFonts w:ascii="Times New Roman" w:hAnsi="Times New Roman"/>
          <w:sz w:val="28"/>
        </w:rPr>
        <w:t>сектором земельных ресурсов отдела имущественных отношений</w:t>
      </w:r>
      <w:r>
        <w:rPr>
          <w:rFonts w:ascii="Times New Roman" w:hAnsi="Times New Roman"/>
          <w:sz w:val="28"/>
        </w:rPr>
        <w:t xml:space="preserve"> администрации муниципального образования Ленинградский муниципальный округ Краснодарского края </w:t>
      </w:r>
      <w:r>
        <w:rPr>
          <w:sz w:val="28"/>
        </w:rPr>
        <w:t>(далее - Разработчик)</w:t>
      </w:r>
      <w:r>
        <w:rPr>
          <w:sz w:val="28"/>
        </w:rPr>
        <w:t xml:space="preserve"> для подготовки настоящего </w:t>
      </w:r>
      <w:r>
        <w:rPr>
          <w:sz w:val="28"/>
        </w:rPr>
        <w:t>Заключения</w:t>
      </w:r>
      <w:r>
        <w:rPr>
          <w:sz w:val="28"/>
        </w:rPr>
        <w:t>,</w:t>
      </w:r>
      <w:r>
        <w:rPr>
          <w:sz w:val="28"/>
        </w:rPr>
        <w:t xml:space="preserve"> и сообщает </w:t>
      </w:r>
      <w:r>
        <w:rPr>
          <w:sz w:val="28"/>
        </w:rPr>
        <w:t>следующее</w:t>
      </w:r>
      <w:r>
        <w:rPr>
          <w:sz w:val="28"/>
        </w:rPr>
        <w:t>.</w:t>
      </w:r>
    </w:p>
    <w:p w14:paraId="12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 xml:space="preserve">В соответствии с Порядком </w:t>
      </w:r>
      <w:r>
        <w:rPr>
          <w:sz w:val="28"/>
        </w:rPr>
        <w:t>проведения оценки регулирующего воздействия проектов муниципальных нормативных правовых актов Ленинградского муниципального округа,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</w:t>
      </w:r>
      <w:r>
        <w:rPr>
          <w:sz w:val="28"/>
        </w:rPr>
        <w:t xml:space="preserve"> </w:t>
      </w:r>
      <w:r>
        <w:rPr>
          <w:sz w:val="28"/>
        </w:rPr>
        <w:t xml:space="preserve">инвестиционной деятельности </w:t>
      </w:r>
      <w:r>
        <w:rPr>
          <w:sz w:val="28"/>
        </w:rPr>
        <w:t>(далее - Порядок) проект подлежит проведению оценки регулирующего воздействия.</w:t>
      </w:r>
    </w:p>
    <w:p w14:paraId="13000000">
      <w:pPr>
        <w:widowControl w:val="1"/>
        <w:ind w:firstLine="540"/>
        <w:jc w:val="both"/>
        <w:outlineLvl w:val="0"/>
        <w:rPr>
          <w:sz w:val="28"/>
        </w:rPr>
      </w:pPr>
      <w:r>
        <w:rPr>
          <w:sz w:val="28"/>
        </w:rPr>
        <w:t xml:space="preserve">Степень регулирующего воздействия -  </w:t>
      </w:r>
      <w:r>
        <w:rPr>
          <w:sz w:val="28"/>
        </w:rPr>
        <w:t>высокая</w:t>
      </w:r>
      <w:r>
        <w:rPr>
          <w:sz w:val="28"/>
        </w:rPr>
        <w:t xml:space="preserve">.   </w:t>
      </w:r>
    </w:p>
    <w:p w14:paraId="14000000">
      <w:pPr>
        <w:pStyle w:val="Style_3"/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деятельности. </w:t>
      </w:r>
    </w:p>
    <w:p w14:paraId="15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 xml:space="preserve">По результатам рассмотрения установлено, что при подготовке </w:t>
      </w:r>
      <w:r>
        <w:rPr>
          <w:sz w:val="28"/>
        </w:rPr>
        <w:t>П</w:t>
      </w:r>
      <w:r>
        <w:rPr>
          <w:sz w:val="28"/>
        </w:rPr>
        <w:t>роекта требования Порядка Разработчиком соблюдены.</w:t>
      </w:r>
    </w:p>
    <w:p w14:paraId="16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>Проект направлен Разработчиком для проведения оценки регулирующего воздействия впервые.</w:t>
      </w:r>
    </w:p>
    <w:p w14:paraId="17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>Проведен анализ результатов исследований, проводимых регулирующим органом</w:t>
      </w:r>
      <w:r>
        <w:rPr>
          <w:sz w:val="28"/>
        </w:rPr>
        <w:t xml:space="preserve"> </w:t>
      </w:r>
      <w:r>
        <w:rPr>
          <w:sz w:val="28"/>
        </w:rPr>
        <w:t xml:space="preserve">с учетом установления полноты рассмотрения </w:t>
      </w:r>
      <w:r>
        <w:rPr>
          <w:sz w:val="28"/>
        </w:rPr>
        <w:t xml:space="preserve">регулирующим органом </w:t>
      </w:r>
      <w:r>
        <w:rPr>
          <w:sz w:val="28"/>
        </w:rPr>
        <w:t xml:space="preserve">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 </w:t>
      </w:r>
    </w:p>
    <w:p w14:paraId="18000000">
      <w:pPr>
        <w:widowControl w:val="1"/>
        <w:ind/>
        <w:jc w:val="both"/>
        <w:outlineLvl w:val="0"/>
        <w:rPr>
          <w:sz w:val="28"/>
        </w:rPr>
      </w:pPr>
      <w:r>
        <w:rPr>
          <w:sz w:val="28"/>
        </w:rPr>
        <w:tab/>
      </w:r>
      <w:r>
        <w:rPr>
          <w:sz w:val="28"/>
        </w:rPr>
        <w:t>Р</w:t>
      </w:r>
      <w:r>
        <w:rPr>
          <w:sz w:val="28"/>
        </w:rPr>
        <w:t>азработчиком предложен один вариант правового регулирования -</w:t>
      </w:r>
      <w:r>
        <w:rPr>
          <w:sz w:val="28"/>
        </w:rPr>
        <w:t xml:space="preserve"> </w:t>
      </w:r>
      <w:r>
        <w:rPr>
          <w:sz w:val="28"/>
        </w:rPr>
        <w:t xml:space="preserve">принятие постановления администрации </w:t>
      </w:r>
      <w:r>
        <w:rPr>
          <w:sz w:val="28"/>
        </w:rPr>
        <w:t>муниципального образования Ленинградский муниципальный округ Краснодарского края «</w:t>
      </w:r>
      <w:r>
        <w:rPr>
          <w:rFonts w:ascii="Times New Roman" w:hAnsi="Times New Roman"/>
          <w:b w:val="0"/>
          <w:sz w:val="28"/>
        </w:rPr>
        <w:t>Об</w:t>
      </w:r>
      <w:r>
        <w:rPr>
          <w:rFonts w:ascii="Times New Roman" w:hAnsi="Times New Roman"/>
          <w:b w:val="0"/>
          <w:sz w:val="28"/>
        </w:rPr>
        <w:t xml:space="preserve"> утверждении административного регламента предоставления </w:t>
      </w:r>
      <w:r>
        <w:rPr>
          <w:rFonts w:ascii="Times New Roman" w:hAnsi="Times New Roman"/>
          <w:b w:val="0"/>
          <w:sz w:val="28"/>
        </w:rPr>
        <w:t>муниципальной услуги «</w:t>
      </w:r>
      <w:r>
        <w:rPr>
          <w:rFonts w:ascii="Times New Roman" w:hAnsi="Times New Roman"/>
          <w:b w:val="0"/>
          <w:sz w:val="28"/>
        </w:rPr>
        <w:t xml:space="preserve">Заключение соглашения о перераспределении </w:t>
      </w:r>
      <w:r>
        <w:rPr>
          <w:rFonts w:ascii="Times New Roman" w:hAnsi="Times New Roman"/>
          <w:b w:val="0"/>
          <w:sz w:val="28"/>
        </w:rPr>
        <w:t xml:space="preserve">земель и (или) земельных участков, находящихся в государственной </w:t>
      </w:r>
      <w:r>
        <w:rPr>
          <w:rFonts w:ascii="Times New Roman" w:hAnsi="Times New Roman"/>
          <w:b w:val="0"/>
          <w:sz w:val="28"/>
        </w:rPr>
        <w:t xml:space="preserve">или </w:t>
      </w:r>
      <w:r>
        <w:rPr>
          <w:rFonts w:ascii="Times New Roman" w:hAnsi="Times New Roman"/>
          <w:b w:val="0"/>
          <w:sz w:val="28"/>
        </w:rPr>
        <w:t xml:space="preserve">муниципальной собственности, и земельных участков, находящихся в </w:t>
      </w:r>
      <w:r>
        <w:rPr>
          <w:rFonts w:ascii="Times New Roman" w:hAnsi="Times New Roman"/>
          <w:b w:val="0"/>
          <w:sz w:val="28"/>
        </w:rPr>
        <w:t>частной собственности</w:t>
      </w:r>
      <w:r>
        <w:rPr>
          <w:sz w:val="28"/>
        </w:rPr>
        <w:t>»</w:t>
      </w:r>
      <w:r>
        <w:rPr>
          <w:color w:themeColor="text1" w:val="000000"/>
          <w:sz w:val="28"/>
        </w:rPr>
        <w:t>.</w:t>
      </w:r>
      <w:r>
        <w:rPr>
          <w:sz w:val="28"/>
        </w:rPr>
        <w:t xml:space="preserve"> </w:t>
      </w:r>
    </w:p>
    <w:p w14:paraId="19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качестве альтернативы рассмотрен вариант непринятия муниципального </w:t>
      </w:r>
      <w:r>
        <w:rPr>
          <w:rFonts w:ascii="Times New Roman" w:hAnsi="Times New Roman"/>
          <w:sz w:val="28"/>
        </w:rPr>
        <w:t xml:space="preserve">нормативного правового акта. </w:t>
      </w:r>
    </w:p>
    <w:p w14:paraId="1A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Проведено сравнение указанных вариантов правового регулирования. </w:t>
      </w:r>
      <w:r>
        <w:rPr>
          <w:rFonts w:ascii="Times New Roman" w:hAnsi="Times New Roman"/>
          <w:sz w:val="28"/>
        </w:rPr>
        <w:t xml:space="preserve">Выбор варианта правового регулирования сделан исходя из оценки </w:t>
      </w:r>
      <w:r>
        <w:rPr>
          <w:rFonts w:ascii="Times New Roman" w:hAnsi="Times New Roman"/>
          <w:sz w:val="28"/>
        </w:rPr>
        <w:t>возможности достижения заявленн</w:t>
      </w:r>
      <w:r>
        <w:rPr>
          <w:rFonts w:ascii="Times New Roman" w:hAnsi="Times New Roman"/>
          <w:sz w:val="28"/>
        </w:rPr>
        <w:t>ой</w:t>
      </w:r>
      <w:r>
        <w:rPr>
          <w:rFonts w:ascii="Times New Roman" w:hAnsi="Times New Roman"/>
          <w:sz w:val="28"/>
        </w:rPr>
        <w:t xml:space="preserve"> цел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регулирования</w:t>
      </w:r>
      <w:r>
        <w:rPr>
          <w:rFonts w:ascii="Times New Roman" w:hAnsi="Times New Roman"/>
          <w:sz w:val="28"/>
        </w:rPr>
        <w:t xml:space="preserve"> и оценки рисков </w:t>
      </w:r>
      <w:r>
        <w:rPr>
          <w:rFonts w:ascii="Times New Roman" w:hAnsi="Times New Roman"/>
          <w:sz w:val="28"/>
        </w:rPr>
        <w:t>наступления неблагоприятных последствий</w:t>
      </w:r>
      <w:r>
        <w:rPr>
          <w:rFonts w:ascii="Times New Roman" w:hAnsi="Times New Roman"/>
          <w:sz w:val="28"/>
        </w:rPr>
        <w:t xml:space="preserve">. </w:t>
      </w:r>
    </w:p>
    <w:p w14:paraId="1B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 xml:space="preserve">Проведена оценка эффективности </w:t>
      </w:r>
      <w:r>
        <w:rPr>
          <w:sz w:val="28"/>
        </w:rPr>
        <w:t xml:space="preserve">предлагаемого варианта правового регулирования, </w:t>
      </w:r>
      <w:r>
        <w:rPr>
          <w:sz w:val="28"/>
        </w:rPr>
        <w:t>основанн</w:t>
      </w:r>
      <w:r>
        <w:rPr>
          <w:sz w:val="28"/>
        </w:rPr>
        <w:t>ого</w:t>
      </w:r>
      <w:r>
        <w:rPr>
          <w:sz w:val="28"/>
        </w:rPr>
        <w:t xml:space="preserve"> на сведениях, содержащихся в соответствующих разделах сводного отчета, и установлено следующее:   </w:t>
      </w:r>
    </w:p>
    <w:p w14:paraId="1C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роблема</w:t>
      </w:r>
      <w:r>
        <w:rPr>
          <w:rFonts w:ascii="Times New Roman" w:hAnsi="Times New Roman"/>
          <w:sz w:val="28"/>
        </w:rPr>
        <w:t>, на решение которой направлено правовое регулирование, сформирована точно</w:t>
      </w:r>
      <w:r>
        <w:rPr>
          <w:rFonts w:ascii="Times New Roman" w:hAnsi="Times New Roman"/>
          <w:sz w:val="28"/>
        </w:rPr>
        <w:t>;</w:t>
      </w:r>
    </w:p>
    <w:p w14:paraId="1D000000">
      <w:pPr>
        <w:widowControl w:val="1"/>
        <w:tabs>
          <w:tab w:leader="none" w:pos="993" w:val="left"/>
        </w:tabs>
        <w:ind w:firstLine="567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</w:t>
      </w:r>
      <w:r>
        <w:rPr>
          <w:sz w:val="28"/>
        </w:rPr>
        <w:t>определены потенциальные адресаты предлагаемого правового регулиро</w:t>
      </w:r>
      <w:r>
        <w:rPr>
          <w:sz w:val="28"/>
        </w:rPr>
        <w:t>вания</w:t>
      </w:r>
      <w:r>
        <w:rPr>
          <w:sz w:val="28"/>
        </w:rPr>
        <w:t>;</w:t>
      </w:r>
    </w:p>
    <w:p w14:paraId="1E000000">
      <w:pPr>
        <w:widowControl w:val="1"/>
        <w:tabs>
          <w:tab w:leader="none" w:pos="993" w:val="left"/>
        </w:tabs>
        <w:ind w:firstLine="567"/>
        <w:jc w:val="both"/>
        <w:rPr>
          <w:sz w:val="28"/>
        </w:rPr>
      </w:pPr>
      <w:r>
        <w:rPr>
          <w:sz w:val="28"/>
        </w:rPr>
        <w:t>- к</w:t>
      </w:r>
      <w:r>
        <w:rPr>
          <w:sz w:val="28"/>
        </w:rPr>
        <w:t xml:space="preserve">оличественная </w:t>
      </w:r>
      <w:r>
        <w:rPr>
          <w:sz w:val="28"/>
        </w:rPr>
        <w:t>оценка участников не ограничена;</w:t>
      </w:r>
      <w:r>
        <w:rPr>
          <w:sz w:val="28"/>
        </w:rPr>
        <w:t xml:space="preserve"> </w:t>
      </w:r>
      <w:r>
        <w:rPr>
          <w:sz w:val="28"/>
        </w:rPr>
        <w:t>о</w:t>
      </w:r>
      <w:r>
        <w:rPr>
          <w:sz w:val="28"/>
        </w:rPr>
        <w:t>пределить точное количество не представляется возможным в связи с заявительным характером предлагаемого правового регулирования.</w:t>
      </w:r>
    </w:p>
    <w:p w14:paraId="1F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цел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 xml:space="preserve"> предлагаемого </w:t>
      </w:r>
      <w:r>
        <w:rPr>
          <w:rFonts w:ascii="Times New Roman" w:hAnsi="Times New Roman"/>
          <w:sz w:val="28"/>
        </w:rPr>
        <w:t>проектом правового регулирования определена объективно</w:t>
      </w:r>
      <w:r>
        <w:rPr>
          <w:rFonts w:ascii="Times New Roman" w:hAnsi="Times New Roman"/>
          <w:sz w:val="28"/>
        </w:rPr>
        <w:t>;</w:t>
      </w:r>
    </w:p>
    <w:p w14:paraId="20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срок достижения заявленных целей: с даты вступления в силу постановления</w:t>
      </w:r>
      <w:r>
        <w:rPr>
          <w:rFonts w:ascii="Times New Roman" w:hAnsi="Times New Roman"/>
          <w:sz w:val="28"/>
        </w:rPr>
        <w:t>, в связи с чем отсутствует необходимость в последующем мониторинге достижения целей</w:t>
      </w:r>
      <w:r>
        <w:rPr>
          <w:rFonts w:ascii="Times New Roman" w:hAnsi="Times New Roman"/>
          <w:sz w:val="28"/>
        </w:rPr>
        <w:t>;</w:t>
      </w:r>
    </w:p>
    <w:p w14:paraId="21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дополнительных расходов местного бюджета (бюджета </w:t>
      </w:r>
      <w:r>
        <w:rPr>
          <w:rFonts w:ascii="Times New Roman" w:hAnsi="Times New Roman"/>
          <w:sz w:val="28"/>
        </w:rPr>
        <w:t xml:space="preserve">Ленинградского </w:t>
      </w:r>
      <w:r>
        <w:rPr>
          <w:rFonts w:ascii="Times New Roman" w:hAnsi="Times New Roman"/>
          <w:sz w:val="28"/>
        </w:rPr>
        <w:t>муниципального о</w:t>
      </w:r>
      <w:r>
        <w:rPr>
          <w:rFonts w:ascii="Times New Roman" w:hAnsi="Times New Roman"/>
          <w:sz w:val="28"/>
        </w:rPr>
        <w:t>круга</w:t>
      </w:r>
      <w:r>
        <w:rPr>
          <w:rFonts w:ascii="Times New Roman" w:hAnsi="Times New Roman"/>
          <w:sz w:val="28"/>
        </w:rPr>
        <w:t>), связанных</w:t>
      </w:r>
      <w:r>
        <w:rPr>
          <w:rFonts w:ascii="Times New Roman" w:hAnsi="Times New Roman"/>
          <w:sz w:val="28"/>
        </w:rPr>
        <w:t xml:space="preserve"> с введением предлагаемого правового регулирования, не предполагается;</w:t>
      </w:r>
    </w:p>
    <w:p w14:paraId="22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риски введения предлагаемого правового регулирования </w:t>
      </w:r>
      <w:r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t>отсутствуют</w:t>
      </w:r>
      <w:r>
        <w:rPr>
          <w:rFonts w:ascii="Times New Roman" w:hAnsi="Times New Roman"/>
          <w:sz w:val="28"/>
        </w:rPr>
        <w:t>.</w:t>
      </w:r>
    </w:p>
    <w:p w14:paraId="23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Порядком установлено следующее:</w:t>
      </w:r>
    </w:p>
    <w:p w14:paraId="24000000">
      <w:pPr>
        <w:widowControl w:val="1"/>
        <w:tabs>
          <w:tab w:leader="none" w:pos="993" w:val="left"/>
        </w:tabs>
        <w:ind w:firstLine="567"/>
        <w:jc w:val="both"/>
        <w:rPr>
          <w:color w:val="000000"/>
          <w:sz w:val="28"/>
        </w:rPr>
      </w:pPr>
      <w:r>
        <w:rPr>
          <w:sz w:val="28"/>
        </w:rPr>
        <w:t>1</w:t>
      </w:r>
      <w:r>
        <w:rPr>
          <w:color w:themeColor="text1" w:val="000000"/>
          <w:sz w:val="28"/>
        </w:rPr>
        <w:t>. Потенциальными группами участников общественных отношений, интересы которых будут затронуты правовым регулированием, являются</w:t>
      </w:r>
      <w:r>
        <w:rPr>
          <w:color w:themeColor="text1" w:val="000000"/>
          <w:sz w:val="28"/>
        </w:rPr>
        <w:t>:</w:t>
      </w:r>
      <w:r>
        <w:rPr>
          <w:color w:themeColor="text1" w:val="000000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граждане</w:t>
      </w:r>
      <w:r>
        <w:rPr>
          <w:rFonts w:ascii="Times New Roman" w:hAnsi="Times New Roman"/>
          <w:sz w:val="28"/>
        </w:rPr>
        <w:t xml:space="preserve"> и юридические лица собственники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 xml:space="preserve">земельных участков, </w:t>
      </w:r>
      <w:r>
        <w:rPr>
          <w:rFonts w:ascii="Times New Roman" w:hAnsi="Times New Roman"/>
          <w:sz w:val="28"/>
        </w:rPr>
        <w:t>заинтересованные в предоставлении муниципальной услуги</w:t>
      </w:r>
      <w:r>
        <w:rPr>
          <w:color w:themeColor="text1" w:val="000000"/>
          <w:sz w:val="28"/>
        </w:rPr>
        <w:t>.</w:t>
      </w:r>
    </w:p>
    <w:p w14:paraId="25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2. Проблема, на решение которой направлено правовое регулирование, </w:t>
      </w:r>
      <w:r>
        <w:rPr>
          <w:sz w:val="28"/>
        </w:rPr>
        <w:t>заключается в</w:t>
      </w:r>
      <w:r>
        <w:rPr>
          <w:sz w:val="28"/>
        </w:rPr>
        <w:t xml:space="preserve"> следующем</w:t>
      </w:r>
      <w:r>
        <w:rPr>
          <w:sz w:val="28"/>
        </w:rPr>
        <w:t>:</w:t>
      </w:r>
      <w:r>
        <w:rPr>
          <w:sz w:val="28"/>
        </w:rPr>
        <w:t xml:space="preserve"> </w:t>
      </w:r>
    </w:p>
    <w:p w14:paraId="26000000">
      <w:pPr>
        <w:widowControl w:val="1"/>
        <w:ind w:firstLine="450"/>
        <w:jc w:val="both"/>
        <w:rPr>
          <w:rFonts w:ascii="XO Thames" w:hAnsi="XO Thames"/>
          <w:color w:val="000000"/>
          <w:sz w:val="28"/>
        </w:rPr>
      </w:pPr>
      <w:r>
        <w:rPr>
          <w:rFonts w:ascii="Times New Roman" w:hAnsi="Times New Roman"/>
          <w:b w:val="0"/>
          <w:sz w:val="28"/>
        </w:rPr>
        <w:t xml:space="preserve">отсутствует возможность оказания </w:t>
      </w:r>
      <w:r>
        <w:rPr>
          <w:rFonts w:ascii="XO Thames" w:hAnsi="XO Thames"/>
          <w:b w:val="0"/>
          <w:sz w:val="28"/>
        </w:rPr>
        <w:t>муниципальной услуги «Заключение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</w:t>
      </w:r>
      <w:r>
        <w:rPr>
          <w:rFonts w:ascii="XO Thames" w:hAnsi="XO Thames"/>
          <w:color w:val="000000"/>
          <w:sz w:val="28"/>
        </w:rPr>
        <w:t>.</w:t>
      </w:r>
    </w:p>
    <w:p w14:paraId="27000000">
      <w:pPr>
        <w:widowControl w:val="1"/>
        <w:tabs>
          <w:tab w:leader="none" w:pos="1134" w:val="left"/>
          <w:tab w:leader="none" w:pos="1276" w:val="left"/>
          <w:tab w:leader="none" w:pos="1418" w:val="left"/>
          <w:tab w:leader="none" w:pos="1560" w:val="left"/>
        </w:tabs>
        <w:ind/>
        <w:jc w:val="both"/>
        <w:rPr>
          <w:sz w:val="28"/>
        </w:rPr>
      </w:pPr>
      <w:r>
        <w:rPr>
          <w:sz w:val="28"/>
        </w:rPr>
        <w:t xml:space="preserve">        </w:t>
      </w:r>
      <w:r>
        <w:rPr>
          <w:sz w:val="28"/>
        </w:rPr>
        <w:t xml:space="preserve">Предусмотренное проектом правовое регулирование иными правовыми, информационными или организационными средствами не представляется </w:t>
      </w:r>
      <w:r>
        <w:rPr>
          <w:sz w:val="28"/>
        </w:rPr>
        <w:t>возможным.</w:t>
      </w:r>
    </w:p>
    <w:p w14:paraId="28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3</w:t>
      </w:r>
      <w:r>
        <w:rPr>
          <w:sz w:val="28"/>
        </w:rPr>
        <w:t xml:space="preserve">. </w:t>
      </w:r>
      <w:r>
        <w:rPr>
          <w:sz w:val="28"/>
        </w:rPr>
        <w:t xml:space="preserve">Цель предлагаемого правового регулирования </w:t>
      </w:r>
      <w:r>
        <w:rPr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оказание </w:t>
      </w:r>
      <w:r>
        <w:rPr>
          <w:rFonts w:ascii="Times New Roman" w:hAnsi="Times New Roman"/>
          <w:b w:val="0"/>
          <w:sz w:val="28"/>
        </w:rPr>
        <w:t>м</w:t>
      </w:r>
      <w:r>
        <w:rPr>
          <w:rFonts w:ascii="XO Thames" w:hAnsi="XO Thames"/>
          <w:b w:val="0"/>
          <w:sz w:val="28"/>
        </w:rPr>
        <w:t>униципальной услуги «Заключение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</w:r>
      <w:r>
        <w:rPr>
          <w:rFonts w:ascii="XO Thames" w:hAnsi="XO Thames"/>
          <w:b w:val="0"/>
          <w:sz w:val="28"/>
        </w:rPr>
        <w:t>»</w:t>
      </w:r>
      <w:r>
        <w:rPr>
          <w:sz w:val="28"/>
        </w:rPr>
        <w:t>.</w:t>
      </w:r>
    </w:p>
    <w:p w14:paraId="29000000">
      <w:pPr>
        <w:widowControl w:val="1"/>
        <w:tabs>
          <w:tab w:leader="none" w:pos="1134" w:val="left"/>
          <w:tab w:leader="none" w:pos="1276" w:val="left"/>
          <w:tab w:leader="none" w:pos="1418" w:val="left"/>
          <w:tab w:leader="none" w:pos="1560" w:val="left"/>
        </w:tabs>
        <w:ind/>
        <w:jc w:val="both"/>
        <w:rPr>
          <w:sz w:val="28"/>
        </w:rPr>
      </w:pPr>
      <w:r>
        <w:rPr>
          <w:sz w:val="28"/>
        </w:rPr>
        <w:t xml:space="preserve">         </w:t>
      </w:r>
      <w:r>
        <w:rPr>
          <w:sz w:val="28"/>
        </w:rPr>
        <w:t>Цел</w:t>
      </w:r>
      <w:r>
        <w:rPr>
          <w:sz w:val="28"/>
        </w:rPr>
        <w:t>ь</w:t>
      </w:r>
      <w:r>
        <w:rPr>
          <w:sz w:val="28"/>
        </w:rPr>
        <w:t xml:space="preserve"> правового регулирования </w:t>
      </w:r>
      <w:r>
        <w:rPr>
          <w:sz w:val="28"/>
        </w:rPr>
        <w:t xml:space="preserve">соответствует </w:t>
      </w:r>
      <w:r>
        <w:rPr>
          <w:sz w:val="28"/>
        </w:rPr>
        <w:t xml:space="preserve">принципам правового регулирования, установленным </w:t>
      </w:r>
      <w:r>
        <w:rPr>
          <w:sz w:val="28"/>
        </w:rPr>
        <w:t xml:space="preserve">действующим </w:t>
      </w:r>
      <w:r>
        <w:rPr>
          <w:sz w:val="28"/>
        </w:rPr>
        <w:t xml:space="preserve">законодательством Российской </w:t>
      </w:r>
      <w:r>
        <w:rPr>
          <w:sz w:val="28"/>
        </w:rPr>
        <w:t>Федерации</w:t>
      </w:r>
      <w:r>
        <w:rPr>
          <w:sz w:val="28"/>
        </w:rPr>
        <w:t xml:space="preserve"> и </w:t>
      </w:r>
      <w:r>
        <w:rPr>
          <w:sz w:val="28"/>
        </w:rPr>
        <w:t>Краснодарского края.</w:t>
      </w:r>
    </w:p>
    <w:p w14:paraId="2A000000">
      <w:pPr>
        <w:pStyle w:val="Style_3"/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sz w:val="28"/>
        </w:rPr>
        <w:t xml:space="preserve">Проект муниципального нормативного правового акта содержит положения, </w:t>
      </w:r>
      <w:r>
        <w:rPr>
          <w:rFonts w:ascii="Times New Roman" w:hAnsi="Times New Roman"/>
          <w:sz w:val="28"/>
        </w:rPr>
        <w:t xml:space="preserve">устанавливающие новые обязанности для субъектов предпринимательской и иной экономической деятельности. </w:t>
      </w:r>
    </w:p>
    <w:p w14:paraId="2B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Представление документов, необходимых в соответствии с законодательными и иными нормативными правовыми актами для предоставления муниципальной услуги, (приложение 3 к Регламенту), с учетом идент</w:t>
      </w:r>
      <w:r>
        <w:rPr>
          <w:rFonts w:ascii="Times New Roman" w:hAnsi="Times New Roman"/>
          <w:sz w:val="28"/>
        </w:rPr>
        <w:t>ификаторов категорий (признаков) заявителей</w:t>
      </w:r>
      <w:r>
        <w:rPr>
          <w:rFonts w:ascii="Times New Roman" w:hAnsi="Times New Roman"/>
          <w:sz w:val="28"/>
        </w:rPr>
        <w:t>.</w:t>
      </w:r>
    </w:p>
    <w:p w14:paraId="2C000000">
      <w:pPr>
        <w:widowControl w:val="1"/>
        <w:ind w:firstLine="709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sz w:val="28"/>
        </w:rPr>
        <w:t>Полномочия администрации Ленинградского муниципального округа в отношениях с субъектами предпринимательской и инвестиционной деятельности - з</w:t>
      </w:r>
      <w:r>
        <w:rPr>
          <w:rFonts w:ascii="Times New Roman" w:hAnsi="Times New Roman"/>
          <w:sz w:val="28"/>
        </w:rPr>
        <w:t xml:space="preserve">аключение соглашения о перераспределении земельного участка с физическим или юридическим лицом, в целях </w:t>
      </w:r>
      <w:r>
        <w:rPr>
          <w:rFonts w:ascii="Times New Roman" w:hAnsi="Times New Roman"/>
          <w:sz w:val="28"/>
        </w:rPr>
        <w:t xml:space="preserve">перераспределения земель и (или) </w:t>
      </w:r>
      <w:r>
        <w:rPr>
          <w:rFonts w:ascii="Times New Roman" w:hAnsi="Times New Roman"/>
          <w:sz w:val="28"/>
        </w:rPr>
        <w:t>земельного участка, находящегося  в государственной или муниципальной собственности, и земельного участка, находящегося в частной собственности</w:t>
      </w:r>
      <w:r>
        <w:rPr>
          <w:rFonts w:ascii="Times New Roman" w:hAnsi="Times New Roman"/>
          <w:b w:val="0"/>
          <w:color w:val="000000"/>
          <w:sz w:val="28"/>
        </w:rPr>
        <w:t>.</w:t>
      </w:r>
    </w:p>
    <w:p w14:paraId="2D000000">
      <w:pPr>
        <w:pStyle w:val="Style_3"/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Проектом </w:t>
      </w:r>
      <w:r>
        <w:rPr>
          <w:rFonts w:ascii="Times New Roman" w:hAnsi="Times New Roman"/>
          <w:sz w:val="28"/>
        </w:rPr>
        <w:t xml:space="preserve">МПА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бязательные требования не установлены.</w:t>
      </w:r>
    </w:p>
    <w:p w14:paraId="2E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bookmarkStart w:id="2" w:name="Par228"/>
      <w:bookmarkEnd w:id="2"/>
      <w:r>
        <w:rPr>
          <w:rFonts w:ascii="Times New Roman" w:hAnsi="Times New Roman"/>
          <w:sz w:val="28"/>
        </w:rPr>
        <w:t xml:space="preserve">5. </w:t>
      </w:r>
      <w:r>
        <w:rPr>
          <w:rFonts w:ascii="Times New Roman" w:hAnsi="Times New Roman"/>
          <w:sz w:val="28"/>
        </w:rPr>
        <w:t xml:space="preserve">Риски </w:t>
      </w:r>
      <w:r>
        <w:rPr>
          <w:rFonts w:ascii="Times New Roman" w:hAnsi="Times New Roman"/>
          <w:sz w:val="28"/>
        </w:rPr>
        <w:t>недостижения</w:t>
      </w:r>
      <w:r>
        <w:rPr>
          <w:rFonts w:ascii="Times New Roman" w:hAnsi="Times New Roman"/>
          <w:sz w:val="28"/>
        </w:rPr>
        <w:t xml:space="preserve"> целей правового регулирования</w:t>
      </w:r>
      <w:r>
        <w:rPr>
          <w:rFonts w:ascii="Times New Roman" w:hAnsi="Times New Roman"/>
          <w:sz w:val="28"/>
        </w:rPr>
        <w:t xml:space="preserve"> отсутствуют</w:t>
      </w:r>
      <w:r>
        <w:rPr>
          <w:rFonts w:ascii="Times New Roman" w:hAnsi="Times New Roman"/>
          <w:sz w:val="28"/>
        </w:rPr>
        <w:t>.</w:t>
      </w:r>
    </w:p>
    <w:p w14:paraId="2F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>
        <w:rPr>
          <w:rFonts w:ascii="Times New Roman" w:hAnsi="Times New Roman"/>
          <w:sz w:val="28"/>
        </w:rPr>
        <w:t xml:space="preserve">Дополнительные расходы местного бюджета (бюджета </w:t>
      </w:r>
      <w:r>
        <w:rPr>
          <w:rFonts w:ascii="Times New Roman" w:hAnsi="Times New Roman"/>
          <w:sz w:val="28"/>
        </w:rPr>
        <w:t xml:space="preserve">Ленинградского </w:t>
      </w:r>
      <w:r>
        <w:rPr>
          <w:rFonts w:ascii="Times New Roman" w:hAnsi="Times New Roman"/>
          <w:sz w:val="28"/>
        </w:rPr>
        <w:t>муниципального о</w:t>
      </w:r>
      <w:r>
        <w:rPr>
          <w:rFonts w:ascii="Times New Roman" w:hAnsi="Times New Roman"/>
          <w:sz w:val="28"/>
        </w:rPr>
        <w:t>круга</w:t>
      </w:r>
      <w:r>
        <w:rPr>
          <w:rFonts w:ascii="Times New Roman" w:hAnsi="Times New Roman"/>
          <w:sz w:val="28"/>
        </w:rPr>
        <w:t xml:space="preserve">), понесенные от регулирующего воздействия предлагаемого проекта муниципального нормативного правового акта, не </w:t>
      </w:r>
      <w:r>
        <w:rPr>
          <w:rFonts w:ascii="Times New Roman" w:hAnsi="Times New Roman"/>
          <w:sz w:val="28"/>
        </w:rPr>
        <w:t>предполагаются.</w:t>
      </w:r>
    </w:p>
    <w:p w14:paraId="30000000">
      <w:pPr>
        <w:widowControl w:val="1"/>
        <w:ind w:firstLine="567"/>
        <w:jc w:val="both"/>
        <w:rPr>
          <w:sz w:val="28"/>
        </w:rPr>
      </w:pPr>
      <w:r>
        <w:rPr>
          <w:color w:themeColor="text1" w:val="000000"/>
          <w:sz w:val="28"/>
        </w:rPr>
        <w:t>Расходы потенциальных адресатов предлагаемого правового регулирования, предполагаются в виде информационных издержек на подготовку и представление</w:t>
      </w:r>
      <w:r>
        <w:rPr>
          <w:sz w:val="28"/>
        </w:rPr>
        <w:t xml:space="preserve"> документов на предоставление муниципальной услуги</w:t>
      </w:r>
      <w:r>
        <w:rPr>
          <w:color w:val="000000"/>
          <w:sz w:val="28"/>
        </w:rPr>
        <w:t xml:space="preserve"> </w:t>
      </w:r>
      <w:r>
        <w:rPr>
          <w:color w:themeColor="text1" w:val="000000"/>
          <w:sz w:val="28"/>
        </w:rPr>
        <w:t xml:space="preserve">в размере </w:t>
      </w:r>
      <w:r>
        <w:rPr>
          <w:sz w:val="28"/>
        </w:rPr>
        <w:t xml:space="preserve">примерно </w:t>
      </w:r>
      <w:r>
        <w:rPr>
          <w:color w:themeColor="text1" w:val="000000"/>
          <w:sz w:val="28"/>
        </w:rPr>
        <w:t xml:space="preserve">1 227,24 </w:t>
      </w:r>
      <w:r>
        <w:rPr>
          <w:b w:val="1"/>
          <w:color w:themeColor="text1" w:val="000000"/>
          <w:sz w:val="28"/>
        </w:rPr>
        <w:t xml:space="preserve"> </w:t>
      </w:r>
      <w:r>
        <w:rPr>
          <w:sz w:val="28"/>
        </w:rPr>
        <w:t>руб. в расчете на 1 заявителя</w:t>
      </w:r>
      <w:r>
        <w:rPr>
          <w:color w:themeColor="text1" w:val="000000"/>
          <w:sz w:val="28"/>
        </w:rPr>
        <w:t>.</w:t>
      </w:r>
    </w:p>
    <w:p w14:paraId="31000000">
      <w:pPr>
        <w:widowControl w:val="1"/>
        <w:ind w:firstLine="567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Согласно </w:t>
      </w:r>
      <w:r>
        <w:rPr>
          <w:rFonts w:ascii="Times New Roman" w:hAnsi="Times New Roman"/>
          <w:color w:themeColor="text1" w:val="000000"/>
          <w:sz w:val="24"/>
        </w:rPr>
        <w:t>Методике оценки стандартных издержек субъектов</w:t>
      </w:r>
      <w:r>
        <w:rPr>
          <w:rFonts w:ascii="Times New Roman" w:hAnsi="Times New Roman"/>
          <w:color w:themeColor="text1" w:val="000000"/>
          <w:sz w:val="24"/>
        </w:rPr>
        <w:t xml:space="preserve">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1 февраля 2024 г. № 54, информационные издержки регулирования включают в себя затраты на подготовку и представление информации в соответствии с требованиями проекта.</w:t>
      </w:r>
    </w:p>
    <w:p w14:paraId="32000000">
      <w:pPr>
        <w:widowControl w:val="1"/>
        <w:ind w:firstLine="567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Расчет вышеуказанной суммы затрат произведен с использованием калькулятора </w:t>
      </w:r>
      <w:r>
        <w:rPr>
          <w:rFonts w:ascii="Times New Roman" w:hAnsi="Times New Roman"/>
          <w:color w:themeColor="text1" w:val="000000"/>
          <w:sz w:val="24"/>
        </w:rPr>
        <w:t>расчета</w:t>
      </w:r>
      <w:r>
        <w:rPr>
          <w:rFonts w:ascii="Times New Roman" w:hAnsi="Times New Roman"/>
          <w:color w:themeColor="text1" w:val="000000"/>
          <w:sz w:val="24"/>
        </w:rPr>
        <w:t xml:space="preserve"> стандартных издержек: </w:t>
      </w:r>
    </w:p>
    <w:p w14:paraId="33000000">
      <w:pPr>
        <w:widowControl w:val="1"/>
        <w:ind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          1) название требования: предоставление пакета документов;</w:t>
      </w:r>
    </w:p>
    <w:p w14:paraId="34000000">
      <w:pPr>
        <w:widowControl w:val="1"/>
        <w:ind w:firstLine="567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тип требования: предоставление информации;</w:t>
      </w:r>
    </w:p>
    <w:p w14:paraId="35000000">
      <w:pPr>
        <w:widowControl w:val="1"/>
        <w:ind w:firstLine="567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раздел требования: информационное;</w:t>
      </w:r>
    </w:p>
    <w:p w14:paraId="36000000">
      <w:pPr>
        <w:widowControl w:val="1"/>
        <w:ind w:firstLine="567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информационный элемент: предоставление заявления, справок, подтверждающих документов, совершенных действий (произведенных расходов) и т.п.;</w:t>
      </w:r>
    </w:p>
    <w:p w14:paraId="37000000">
      <w:pPr>
        <w:widowControl w:val="1"/>
        <w:ind w:firstLine="567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тип элемента: документы, составленные совместно с третьими лицами для хранения /передачи органам власти; или внутренние документы для хранения /передачи органам власти; или иное;</w:t>
      </w:r>
    </w:p>
    <w:p w14:paraId="38000000">
      <w:pPr>
        <w:widowControl w:val="1"/>
        <w:ind w:firstLine="567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- масштаб: - </w:t>
      </w:r>
    </w:p>
    <w:p w14:paraId="39000000">
      <w:pPr>
        <w:widowControl w:val="1"/>
        <w:ind w:firstLine="567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частота: 1 ед.</w:t>
      </w:r>
    </w:p>
    <w:p w14:paraId="3A000000">
      <w:pPr>
        <w:widowControl w:val="1"/>
        <w:ind w:firstLine="567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Действия:</w:t>
      </w:r>
    </w:p>
    <w:p w14:paraId="3B000000">
      <w:pPr>
        <w:widowControl w:val="1"/>
        <w:ind w:firstLine="567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написание любого документа низкого уровня сложности (менее 5 стр. печатного </w:t>
      </w:r>
      <w:r>
        <w:rPr>
          <w:rFonts w:ascii="Times New Roman" w:hAnsi="Times New Roman"/>
          <w:color w:themeColor="text1" w:val="000000"/>
          <w:sz w:val="24"/>
        </w:rPr>
        <w:t>текста</w:t>
      </w:r>
      <w:r>
        <w:rPr>
          <w:rFonts w:ascii="Times New Roman" w:hAnsi="Times New Roman"/>
          <w:color w:themeColor="text1" w:val="000000"/>
          <w:sz w:val="24"/>
        </w:rPr>
        <w:t>) – 1,00 чел./часов;</w:t>
      </w:r>
    </w:p>
    <w:p w14:paraId="3C000000">
      <w:pPr>
        <w:widowControl w:val="1"/>
        <w:ind w:firstLine="567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копирование документов – 1,00 чел./часов;</w:t>
      </w:r>
    </w:p>
    <w:p w14:paraId="3D000000">
      <w:pPr>
        <w:widowControl w:val="1"/>
        <w:ind w:firstLine="567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подача заявления – 1,00 чел./часов.</w:t>
      </w:r>
    </w:p>
    <w:p w14:paraId="3E000000">
      <w:pPr>
        <w:widowControl w:val="1"/>
        <w:ind w:firstLine="567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Среднемесячная заработная плата по Ленинградскому округу на </w:t>
      </w:r>
      <w:r>
        <w:rPr>
          <w:rFonts w:ascii="Times New Roman" w:hAnsi="Times New Roman"/>
          <w:color w:themeColor="text1" w:val="000000"/>
          <w:sz w:val="24"/>
        </w:rPr>
        <w:t xml:space="preserve">1 июня </w:t>
      </w:r>
      <w:r>
        <w:rPr>
          <w:rFonts w:ascii="Times New Roman" w:hAnsi="Times New Roman"/>
          <w:color w:themeColor="text1" w:val="000000"/>
          <w:sz w:val="24"/>
        </w:rPr>
        <w:t>202</w:t>
      </w:r>
      <w:r>
        <w:rPr>
          <w:rFonts w:ascii="Times New Roman" w:hAnsi="Times New Roman"/>
          <w:color w:themeColor="text1" w:val="000000"/>
          <w:sz w:val="24"/>
        </w:rPr>
        <w:t>6</w:t>
      </w:r>
      <w:r>
        <w:rPr>
          <w:rFonts w:ascii="Times New Roman" w:hAnsi="Times New Roman"/>
          <w:color w:themeColor="text1" w:val="000000"/>
          <w:sz w:val="24"/>
        </w:rPr>
        <w:t xml:space="preserve"> г. </w:t>
      </w:r>
      <w:r>
        <w:rPr>
          <w:rFonts w:ascii="Times New Roman" w:hAnsi="Times New Roman"/>
          <w:color w:themeColor="text1" w:val="000000"/>
          <w:sz w:val="24"/>
        </w:rPr>
        <w:t>согласно данным органов</w:t>
      </w:r>
      <w:r>
        <w:rPr>
          <w:rFonts w:ascii="Times New Roman" w:hAnsi="Times New Roman"/>
          <w:color w:themeColor="text1" w:val="000000"/>
          <w:sz w:val="24"/>
        </w:rPr>
        <w:t xml:space="preserve"> статистики по крупным и средним предприятиям: 68726,8</w:t>
      </w:r>
      <w:r>
        <w:rPr>
          <w:rFonts w:ascii="Times New Roman" w:hAnsi="Times New Roman"/>
          <w:color w:themeColor="text1" w:val="000000"/>
          <w:sz w:val="24"/>
        </w:rPr>
        <w:t xml:space="preserve"> руб.</w:t>
      </w:r>
      <w:r>
        <w:rPr>
          <w:rFonts w:ascii="Times New Roman" w:hAnsi="Times New Roman"/>
          <w:color w:themeColor="text1" w:val="000000"/>
          <w:sz w:val="24"/>
        </w:rPr>
        <w:t xml:space="preserve">  </w:t>
      </w:r>
    </w:p>
    <w:p w14:paraId="3F000000">
      <w:pPr>
        <w:widowControl w:val="1"/>
        <w:ind w:firstLine="567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Средняя стоимость часа работы: 409,08</w:t>
      </w:r>
      <w:r>
        <w:rPr>
          <w:rFonts w:ascii="Times New Roman" w:hAnsi="Times New Roman"/>
          <w:color w:themeColor="text1" w:val="000000"/>
          <w:sz w:val="24"/>
        </w:rPr>
        <w:t xml:space="preserve"> руб. </w:t>
      </w:r>
    </w:p>
    <w:p w14:paraId="40000000">
      <w:pPr>
        <w:widowControl w:val="1"/>
        <w:ind w:firstLine="567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Стоимость требования: 1 227,24</w:t>
      </w:r>
      <w:r>
        <w:rPr>
          <w:rFonts w:ascii="Times New Roman" w:hAnsi="Times New Roman"/>
          <w:color w:themeColor="text1" w:val="000000"/>
          <w:sz w:val="24"/>
        </w:rPr>
        <w:t xml:space="preserve"> руб. в расчете на 1 ед. 409,8</w:t>
      </w:r>
      <w:r>
        <w:rPr>
          <w:rFonts w:ascii="Times New Roman" w:hAnsi="Times New Roman"/>
          <w:color w:themeColor="text1" w:val="000000"/>
          <w:sz w:val="24"/>
        </w:rPr>
        <w:t xml:space="preserve"> х </w:t>
      </w:r>
      <w:r>
        <w:rPr>
          <w:rFonts w:ascii="Times New Roman" w:hAnsi="Times New Roman"/>
          <w:color w:themeColor="text1" w:val="000000"/>
          <w:sz w:val="24"/>
        </w:rPr>
        <w:t>(1+1+1</w:t>
      </w:r>
      <w:r>
        <w:rPr>
          <w:rFonts w:ascii="Times New Roman" w:hAnsi="Times New Roman"/>
          <w:color w:themeColor="text1" w:val="000000"/>
          <w:sz w:val="24"/>
        </w:rPr>
        <w:t>)</w:t>
      </w:r>
      <w:r>
        <w:rPr>
          <w:rFonts w:ascii="Times New Roman" w:hAnsi="Times New Roman"/>
          <w:color w:themeColor="text1" w:val="000000"/>
          <w:sz w:val="24"/>
        </w:rPr>
        <w:t>.</w:t>
      </w:r>
    </w:p>
    <w:p w14:paraId="41000000">
      <w:pPr>
        <w:pStyle w:val="Style_4"/>
        <w:widowControl w:val="1"/>
        <w:ind w:firstLine="567"/>
        <w:jc w:val="both"/>
        <w:rPr>
          <w:rFonts w:ascii="Times New Roman" w:hAnsi="Times New Roman"/>
          <w:sz w:val="24"/>
        </w:rPr>
      </w:pPr>
    </w:p>
    <w:p w14:paraId="42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Необоснованные расходы, связанные с регулирующим воздействием </w:t>
      </w:r>
      <w:r>
        <w:rPr>
          <w:rFonts w:ascii="Times New Roman" w:hAnsi="Times New Roman"/>
          <w:sz w:val="28"/>
        </w:rPr>
        <w:t xml:space="preserve">проекта, отсутствуют. </w:t>
      </w:r>
    </w:p>
    <w:p w14:paraId="43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В соответствии с Порядком уполномоченный орган провел публичные консультации по проекту в период с</w:t>
      </w:r>
      <w:r>
        <w:rPr>
          <w:rFonts w:ascii="Times New Roman" w:hAnsi="Times New Roman"/>
          <w:sz w:val="28"/>
        </w:rPr>
        <w:t xml:space="preserve"> 14 августа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</w:t>
      </w:r>
      <w:r>
        <w:rPr>
          <w:rFonts w:ascii="Times New Roman" w:hAnsi="Times New Roman"/>
          <w:sz w:val="28"/>
        </w:rPr>
        <w:t>26</w:t>
      </w:r>
      <w:r>
        <w:rPr>
          <w:rFonts w:ascii="Times New Roman" w:hAnsi="Times New Roman"/>
          <w:sz w:val="28"/>
        </w:rPr>
        <w:t xml:space="preserve"> г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по </w:t>
      </w:r>
      <w:r>
        <w:rPr>
          <w:rFonts w:ascii="Times New Roman" w:hAnsi="Times New Roman"/>
          <w:sz w:val="28"/>
        </w:rPr>
        <w:t>27 августа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2026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.</w:t>
      </w:r>
    </w:p>
    <w:p w14:paraId="44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 xml:space="preserve">8. </w:t>
      </w:r>
      <w:r>
        <w:rPr>
          <w:sz w:val="28"/>
        </w:rPr>
        <w:t xml:space="preserve">8. Информация о проводимых публичных консультациях была размещена на официальном сайте администрации Ленинградского муниципального округа (www.adminlenkub.ru), а также направлена в адрес лиц с которыми </w:t>
      </w:r>
      <w:r>
        <w:rPr>
          <w:sz w:val="28"/>
        </w:rPr>
        <w:t xml:space="preserve">заключены соглашения о взаимодействии по вопросам проведения оценки регулирующего воздействия и в адрес </w:t>
      </w:r>
      <w:r>
        <w:rPr>
          <w:rFonts w:ascii="Times New Roman" w:hAnsi="Times New Roman"/>
          <w:sz w:val="28"/>
        </w:rPr>
        <w:t xml:space="preserve">территориальных органов </w:t>
      </w:r>
      <w:r>
        <w:rPr>
          <w:rFonts w:ascii="Times New Roman" w:hAnsi="Times New Roman"/>
          <w:sz w:val="28"/>
        </w:rPr>
        <w:t>администрации Ленинградского муниципального органа.</w:t>
      </w:r>
    </w:p>
    <w:p w14:paraId="45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 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14:paraId="46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 По результатам оценки регулирующего воздействия сделаны выводы об</w:t>
      </w:r>
      <w:r>
        <w:rPr>
          <w:rFonts w:ascii="Times New Roman" w:hAnsi="Times New Roman"/>
          <w:sz w:val="28"/>
        </w:rPr>
        <w:t xml:space="preserve"> отсутствии в представленном проекте положений, вводящих избыточные административные обязанности, запреты и ограничения для субъектов  малого и среднего предпринимательства (юридических лиц, индивидуальных предпринимателей) или способствующих их введению,  оказывающих негативное влияние на отрасли экономики Ленинградского муниципального округа, способствующих возникновению необоснованных расходов субъектов малого и среднего предпринимательства (юридических лиц, индивидуальных предпринимателей), а также необоснованных расходов местного бюджета (бюджета Ленинградского муниципального округа), и о возможности его дальнейшего согласования.</w:t>
      </w:r>
    </w:p>
    <w:p w14:paraId="47000000">
      <w:pPr>
        <w:pStyle w:val="Style_4"/>
        <w:widowControl w:val="1"/>
        <w:ind/>
        <w:jc w:val="both"/>
        <w:rPr>
          <w:rFonts w:ascii="Times New Roman" w:hAnsi="Times New Roman"/>
          <w:sz w:val="28"/>
        </w:rPr>
      </w:pPr>
    </w:p>
    <w:p w14:paraId="48000000">
      <w:pPr>
        <w:pStyle w:val="Style_4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Заведующий сектором развития</w:t>
      </w:r>
    </w:p>
    <w:p w14:paraId="49000000">
      <w:pPr>
        <w:pStyle w:val="Style_4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предпринимательства </w:t>
      </w:r>
    </w:p>
    <w:p w14:paraId="4A000000">
      <w:pPr>
        <w:pStyle w:val="Style_4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отдела экономики администрации                                                             Н.Г. </w:t>
      </w:r>
      <w:r>
        <w:rPr>
          <w:rFonts w:ascii="Times New Roman" w:hAnsi="Times New Roman"/>
          <w:sz w:val="28"/>
        </w:rPr>
        <w:t>Пырхова</w:t>
      </w:r>
    </w:p>
    <w:sectPr>
      <w:headerReference r:id="rId3" w:type="default"/>
      <w:headerReference r:id="rId5" w:type="first"/>
      <w:headerReference r:id="rId1" w:type="even"/>
      <w:footerReference r:id="rId4" w:type="default"/>
      <w:footerReference r:id="rId6" w:type="first"/>
      <w:footerReference r:id="rId2" w:type="even"/>
      <w:type w:val="continuous"/>
      <w:pgSz w:h="16834" w:orient="portrait" w:w="11909"/>
      <w:pgMar w:bottom="1134" w:footer="567" w:gutter="0" w:header="567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4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0"/>
      <w:ind/>
    </w:pPr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Основной текст (2)"/>
    <w:basedOn w:val="Style_5"/>
    <w:link w:val="Style_7_ch"/>
    <w:pPr>
      <w:widowControl w:val="1"/>
      <w:spacing w:after="120" w:line="0" w:lineRule="atLeast"/>
      <w:ind w:hanging="120"/>
      <w:jc w:val="center"/>
    </w:pPr>
    <w:rPr>
      <w:sz w:val="28"/>
    </w:rPr>
  </w:style>
  <w:style w:styleId="Style_7_ch" w:type="character">
    <w:name w:val="Основной текст (2)"/>
    <w:basedOn w:val="Style_5_ch"/>
    <w:link w:val="Style_7"/>
    <w:rPr>
      <w:sz w:val="28"/>
    </w:rPr>
  </w:style>
  <w:style w:styleId="Style_8" w:type="paragraph">
    <w:name w:val="List Paragraph"/>
    <w:basedOn w:val="Style_5"/>
    <w:link w:val="Style_8_ch"/>
    <w:pPr>
      <w:widowControl w:val="1"/>
      <w:ind w:left="720"/>
      <w:contextualSpacing w:val="1"/>
    </w:pPr>
  </w:style>
  <w:style w:styleId="Style_8_ch" w:type="character">
    <w:name w:val="List Paragraph"/>
    <w:basedOn w:val="Style_5_ch"/>
    <w:link w:val="Style_8"/>
  </w:style>
  <w:style w:styleId="Style_9" w:type="paragraph">
    <w:name w:val="toc 4"/>
    <w:next w:val="Style_5"/>
    <w:link w:val="Style_9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3" w:type="paragraph">
    <w:name w:val="ConsPlusNormal"/>
    <w:link w:val="Style_3_ch"/>
    <w:pPr>
      <w:widowControl w:val="0"/>
      <w:ind/>
    </w:pPr>
    <w:rPr>
      <w:rFonts w:ascii="Calibri" w:hAnsi="Calibri"/>
      <w:sz w:val="22"/>
    </w:rPr>
  </w:style>
  <w:style w:styleId="Style_3_ch" w:type="character">
    <w:name w:val="ConsPlusNormal"/>
    <w:link w:val="Style_3"/>
    <w:rPr>
      <w:rFonts w:ascii="Calibri" w:hAnsi="Calibri"/>
      <w:sz w:val="22"/>
    </w:rPr>
  </w:style>
  <w:style w:styleId="Style_10" w:type="paragraph">
    <w:name w:val="toc 6"/>
    <w:next w:val="Style_5"/>
    <w:link w:val="Style_10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5"/>
    <w:link w:val="Style_11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Гипертекстовая ссылка"/>
    <w:link w:val="Style_12_ch"/>
    <w:rPr>
      <w:b w:val="1"/>
      <w:color w:val="008000"/>
      <w:sz w:val="30"/>
    </w:rPr>
  </w:style>
  <w:style w:styleId="Style_12_ch" w:type="character">
    <w:name w:val="Гипертекстовая ссылка"/>
    <w:link w:val="Style_12"/>
    <w:rPr>
      <w:b w:val="1"/>
      <w:color w:val="008000"/>
      <w:sz w:val="30"/>
    </w:rPr>
  </w:style>
  <w:style w:styleId="Style_13" w:type="paragraph">
    <w:name w:val="Знак"/>
    <w:basedOn w:val="Style_5"/>
    <w:link w:val="Style_13_ch"/>
    <w:pPr>
      <w:widowControl w:val="1"/>
      <w:spacing w:after="160" w:line="240" w:lineRule="exact"/>
      <w:ind/>
    </w:pPr>
    <w:rPr>
      <w:rFonts w:ascii="Verdana" w:hAnsi="Verdana"/>
    </w:rPr>
  </w:style>
  <w:style w:styleId="Style_13_ch" w:type="character">
    <w:name w:val="Знак"/>
    <w:basedOn w:val="Style_5_ch"/>
    <w:link w:val="Style_13"/>
    <w:rPr>
      <w:rFonts w:ascii="Verdana" w:hAnsi="Verdana"/>
    </w:rPr>
  </w:style>
  <w:style w:styleId="Style_14" w:type="paragraph">
    <w:name w:val="End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Endnote"/>
    <w:link w:val="Style_14"/>
    <w:rPr>
      <w:rFonts w:ascii="XO Thames" w:hAnsi="XO Thames"/>
      <w:sz w:val="22"/>
    </w:rPr>
  </w:style>
  <w:style w:styleId="Style_15" w:type="paragraph">
    <w:name w:val="heading 3"/>
    <w:basedOn w:val="Style_5"/>
    <w:next w:val="Style_5"/>
    <w:link w:val="Style_15_ch"/>
    <w:uiPriority w:val="9"/>
    <w:qFormat/>
    <w:pPr>
      <w:keepNext w:val="1"/>
      <w:keepLines w:val="1"/>
      <w:widowControl w:val="1"/>
      <w:spacing w:before="200"/>
      <w:ind/>
      <w:outlineLvl w:val="2"/>
    </w:pPr>
    <w:rPr>
      <w:rFonts w:asciiTheme="majorAscii" w:hAnsiTheme="majorHAnsi"/>
      <w:b w:val="1"/>
      <w:color w:themeColor="accent1" w:val="4F81BD"/>
    </w:rPr>
  </w:style>
  <w:style w:styleId="Style_15_ch" w:type="character">
    <w:name w:val="heading 3"/>
    <w:basedOn w:val="Style_5_ch"/>
    <w:link w:val="Style_15"/>
    <w:rPr>
      <w:rFonts w:asciiTheme="majorAscii" w:hAnsiTheme="majorHAnsi"/>
      <w:b w:val="1"/>
      <w:color w:themeColor="accent1" w:val="4F81BD"/>
    </w:rPr>
  </w:style>
  <w:style w:styleId="Style_16" w:type="paragraph">
    <w:name w:val="Balloon Text"/>
    <w:basedOn w:val="Style_5"/>
    <w:link w:val="Style_16_ch"/>
    <w:rPr>
      <w:rFonts w:ascii="Tahoma" w:hAnsi="Tahoma"/>
      <w:sz w:val="16"/>
    </w:rPr>
  </w:style>
  <w:style w:styleId="Style_16_ch" w:type="character">
    <w:name w:val="Balloon Text"/>
    <w:basedOn w:val="Style_5_ch"/>
    <w:link w:val="Style_16"/>
    <w:rPr>
      <w:rFonts w:ascii="Tahoma" w:hAnsi="Tahoma"/>
      <w:sz w:val="16"/>
    </w:rPr>
  </w:style>
  <w:style w:styleId="Style_17" w:type="paragraph">
    <w:name w:val="Нормальный (таблица)"/>
    <w:basedOn w:val="Style_5"/>
    <w:next w:val="Style_5"/>
    <w:link w:val="Style_17_ch"/>
    <w:pPr>
      <w:widowControl w:val="1"/>
      <w:ind/>
      <w:jc w:val="both"/>
    </w:pPr>
    <w:rPr>
      <w:rFonts w:ascii="Arial" w:hAnsi="Arial"/>
      <w:sz w:val="24"/>
    </w:rPr>
  </w:style>
  <w:style w:styleId="Style_17_ch" w:type="character">
    <w:name w:val="Нормальный (таблица)"/>
    <w:basedOn w:val="Style_5_ch"/>
    <w:link w:val="Style_17"/>
    <w:rPr>
      <w:rFonts w:ascii="Arial" w:hAnsi="Arial"/>
      <w:sz w:val="24"/>
    </w:rPr>
  </w:style>
  <w:style w:styleId="Style_1" w:type="paragraph">
    <w:name w:val="header"/>
    <w:basedOn w:val="Style_5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9" w:type="paragraph">
    <w:name w:val="toc 3"/>
    <w:next w:val="Style_5"/>
    <w:link w:val="Style_1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Strong"/>
    <w:basedOn w:val="Style_18"/>
    <w:link w:val="Style_20_ch"/>
    <w:rPr>
      <w:b w:val="1"/>
    </w:rPr>
  </w:style>
  <w:style w:styleId="Style_20_ch" w:type="character">
    <w:name w:val="Strong"/>
    <w:basedOn w:val="Style_18_ch"/>
    <w:link w:val="Style_20"/>
    <w:rPr>
      <w:b w:val="1"/>
    </w:rPr>
  </w:style>
  <w:style w:styleId="Style_21" w:type="paragraph">
    <w:name w:val="No Spacing"/>
    <w:link w:val="Style_21_ch"/>
    <w:rPr>
      <w:sz w:val="26"/>
    </w:rPr>
  </w:style>
  <w:style w:styleId="Style_21_ch" w:type="character">
    <w:name w:val="No Spacing"/>
    <w:link w:val="Style_21"/>
    <w:rPr>
      <w:sz w:val="26"/>
    </w:rPr>
  </w:style>
  <w:style w:styleId="Style_22" w:type="paragraph">
    <w:name w:val="heading 5"/>
    <w:next w:val="Style_5"/>
    <w:link w:val="Style_2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2_ch" w:type="character">
    <w:name w:val="heading 5"/>
    <w:link w:val="Style_22"/>
    <w:rPr>
      <w:rFonts w:ascii="XO Thames" w:hAnsi="XO Thames"/>
      <w:b w:val="1"/>
      <w:sz w:val="22"/>
    </w:rPr>
  </w:style>
  <w:style w:styleId="Style_23" w:type="paragraph">
    <w:name w:val="heading 1"/>
    <w:basedOn w:val="Style_5"/>
    <w:next w:val="Style_5"/>
    <w:link w:val="Style_23_ch"/>
    <w:uiPriority w:val="9"/>
    <w:qFormat/>
    <w:pPr>
      <w:keepNext w:val="1"/>
      <w:widowControl w:val="1"/>
      <w:spacing w:line="302" w:lineRule="exact"/>
      <w:ind w:left="1094"/>
      <w:outlineLvl w:val="0"/>
    </w:pPr>
    <w:rPr>
      <w:b w:val="1"/>
      <w:color w:val="000000"/>
      <w:spacing w:val="-4"/>
      <w:sz w:val="28"/>
    </w:rPr>
  </w:style>
  <w:style w:styleId="Style_23_ch" w:type="character">
    <w:name w:val="heading 1"/>
    <w:basedOn w:val="Style_5_ch"/>
    <w:link w:val="Style_23"/>
    <w:rPr>
      <w:b w:val="1"/>
      <w:color w:val="000000"/>
      <w:spacing w:val="-4"/>
      <w:sz w:val="28"/>
    </w:rPr>
  </w:style>
  <w:style w:styleId="Style_24" w:type="paragraph">
    <w:name w:val="Основной текст2"/>
    <w:basedOn w:val="Style_5"/>
    <w:link w:val="Style_24_ch"/>
    <w:pPr>
      <w:widowControl w:val="1"/>
      <w:spacing w:after="1560" w:line="317" w:lineRule="exact"/>
      <w:ind/>
    </w:pPr>
    <w:rPr>
      <w:color w:val="000000"/>
      <w:spacing w:val="8"/>
      <w:sz w:val="24"/>
    </w:rPr>
  </w:style>
  <w:style w:styleId="Style_24_ch" w:type="character">
    <w:name w:val="Основной текст2"/>
    <w:basedOn w:val="Style_5_ch"/>
    <w:link w:val="Style_24"/>
    <w:rPr>
      <w:color w:val="000000"/>
      <w:spacing w:val="8"/>
      <w:sz w:val="24"/>
    </w:rPr>
  </w:style>
  <w:style w:styleId="Style_25" w:type="paragraph">
    <w:name w:val="Hyperlink"/>
    <w:basedOn w:val="Style_18"/>
    <w:link w:val="Style_25_ch"/>
    <w:rPr>
      <w:color w:val="0066CC"/>
      <w:u w:val="single"/>
    </w:rPr>
  </w:style>
  <w:style w:styleId="Style_25_ch" w:type="character">
    <w:name w:val="Hyperlink"/>
    <w:basedOn w:val="Style_18_ch"/>
    <w:link w:val="Style_25"/>
    <w:rPr>
      <w:color w:val="0066CC"/>
      <w:u w:val="single"/>
    </w:rPr>
  </w:style>
  <w:style w:styleId="Style_26" w:type="paragraph">
    <w:name w:val="Footnote"/>
    <w:link w:val="Style_2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6_ch" w:type="character">
    <w:name w:val="Footnote"/>
    <w:link w:val="Style_26"/>
    <w:rPr>
      <w:rFonts w:ascii="XO Thames" w:hAnsi="XO Thames"/>
      <w:sz w:val="22"/>
    </w:rPr>
  </w:style>
  <w:style w:styleId="Style_27" w:type="paragraph">
    <w:name w:val="toc 1"/>
    <w:next w:val="Style_5"/>
    <w:link w:val="Style_27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7_ch" w:type="character">
    <w:name w:val="toc 1"/>
    <w:link w:val="Style_27"/>
    <w:rPr>
      <w:rFonts w:ascii="XO Thames" w:hAnsi="XO Thames"/>
      <w:b w:val="1"/>
      <w:sz w:val="28"/>
    </w:rPr>
  </w:style>
  <w:style w:styleId="Style_28" w:type="paragraph">
    <w:name w:val="Header and Footer"/>
    <w:link w:val="Style_2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8_ch" w:type="character">
    <w:name w:val="Header and Footer"/>
    <w:link w:val="Style_28"/>
    <w:rPr>
      <w:rFonts w:ascii="XO Thames" w:hAnsi="XO Thames"/>
      <w:sz w:val="28"/>
    </w:rPr>
  </w:style>
  <w:style w:styleId="Style_29" w:type="paragraph">
    <w:name w:val="blk"/>
    <w:basedOn w:val="Style_18"/>
    <w:link w:val="Style_29_ch"/>
  </w:style>
  <w:style w:styleId="Style_29_ch" w:type="character">
    <w:name w:val="blk"/>
    <w:basedOn w:val="Style_18_ch"/>
    <w:link w:val="Style_29"/>
  </w:style>
  <w:style w:styleId="Style_30" w:type="paragraph">
    <w:name w:val="toc 9"/>
    <w:next w:val="Style_5"/>
    <w:link w:val="Style_30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30_ch" w:type="character">
    <w:name w:val="toc 9"/>
    <w:link w:val="Style_30"/>
    <w:rPr>
      <w:rFonts w:ascii="XO Thames" w:hAnsi="XO Thames"/>
      <w:sz w:val="28"/>
    </w:rPr>
  </w:style>
  <w:style w:styleId="Style_2" w:type="paragraph">
    <w:name w:val="footer"/>
    <w:basedOn w:val="Style_5"/>
    <w:link w:val="Style_2_ch"/>
    <w:pPr>
      <w:widowControl w:val="1"/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5_ch"/>
    <w:link w:val="Style_2"/>
  </w:style>
  <w:style w:styleId="Style_31" w:type="paragraph">
    <w:name w:val="toc 8"/>
    <w:next w:val="Style_5"/>
    <w:link w:val="Style_3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1_ch" w:type="character">
    <w:name w:val="toc 8"/>
    <w:link w:val="Style_31"/>
    <w:rPr>
      <w:rFonts w:ascii="XO Thames" w:hAnsi="XO Thames"/>
      <w:sz w:val="28"/>
    </w:rPr>
  </w:style>
  <w:style w:styleId="Style_32" w:type="paragraph">
    <w:name w:val="Основной текст1"/>
    <w:basedOn w:val="Style_5"/>
    <w:link w:val="Style_32_ch"/>
    <w:pPr>
      <w:widowControl w:val="1"/>
      <w:spacing w:line="266" w:lineRule="exact"/>
      <w:ind/>
      <w:jc w:val="center"/>
    </w:pPr>
    <w:rPr>
      <w:spacing w:val="5"/>
      <w:sz w:val="25"/>
    </w:rPr>
  </w:style>
  <w:style w:styleId="Style_32_ch" w:type="character">
    <w:name w:val="Основной текст1"/>
    <w:basedOn w:val="Style_5_ch"/>
    <w:link w:val="Style_32"/>
    <w:rPr>
      <w:spacing w:val="5"/>
      <w:sz w:val="25"/>
    </w:rPr>
  </w:style>
  <w:style w:styleId="Style_33" w:type="paragraph">
    <w:name w:val="ConsPlusTitle"/>
    <w:link w:val="Style_33_ch"/>
    <w:pPr>
      <w:widowControl w:val="0"/>
      <w:ind/>
    </w:pPr>
    <w:rPr>
      <w:rFonts w:ascii="Arial" w:hAnsi="Arial"/>
      <w:b w:val="1"/>
    </w:rPr>
  </w:style>
  <w:style w:styleId="Style_33_ch" w:type="character">
    <w:name w:val="ConsPlusTitle"/>
    <w:link w:val="Style_33"/>
    <w:rPr>
      <w:rFonts w:ascii="Arial" w:hAnsi="Arial"/>
      <w:b w:val="1"/>
    </w:rPr>
  </w:style>
  <w:style w:styleId="Style_34" w:type="paragraph">
    <w:name w:val="Прижатый влево"/>
    <w:basedOn w:val="Style_5"/>
    <w:next w:val="Style_5"/>
    <w:link w:val="Style_34_ch"/>
    <w:pPr>
      <w:widowControl w:val="1"/>
      <w:ind/>
    </w:pPr>
    <w:rPr>
      <w:rFonts w:ascii="Cambria Math" w:hAnsi="Cambria Math"/>
      <w:sz w:val="24"/>
    </w:rPr>
  </w:style>
  <w:style w:styleId="Style_34_ch" w:type="character">
    <w:name w:val="Прижатый влево"/>
    <w:basedOn w:val="Style_5_ch"/>
    <w:link w:val="Style_34"/>
    <w:rPr>
      <w:rFonts w:ascii="Cambria Math" w:hAnsi="Cambria Math"/>
      <w:sz w:val="24"/>
    </w:rPr>
  </w:style>
  <w:style w:styleId="Style_35" w:type="paragraph">
    <w:name w:val="toc 5"/>
    <w:next w:val="Style_5"/>
    <w:link w:val="Style_35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5_ch" w:type="character">
    <w:name w:val="toc 5"/>
    <w:link w:val="Style_35"/>
    <w:rPr>
      <w:rFonts w:ascii="XO Thames" w:hAnsi="XO Thames"/>
      <w:sz w:val="28"/>
    </w:rPr>
  </w:style>
  <w:style w:styleId="Style_4" w:type="paragraph">
    <w:name w:val="ConsPlusNonformat"/>
    <w:link w:val="Style_4_ch"/>
    <w:pPr>
      <w:widowControl w:val="0"/>
      <w:ind/>
    </w:pPr>
    <w:rPr>
      <w:rFonts w:ascii="Courier New" w:hAnsi="Courier New"/>
    </w:rPr>
  </w:style>
  <w:style w:styleId="Style_4_ch" w:type="character">
    <w:name w:val="ConsPlusNonformat"/>
    <w:link w:val="Style_4"/>
    <w:rPr>
      <w:rFonts w:ascii="Courier New" w:hAnsi="Courier New"/>
    </w:rPr>
  </w:style>
  <w:style w:styleId="Style_36" w:type="paragraph">
    <w:name w:val="Default"/>
    <w:link w:val="Style_36_ch"/>
    <w:rPr>
      <w:color w:val="000000"/>
      <w:sz w:val="24"/>
    </w:rPr>
  </w:style>
  <w:style w:styleId="Style_36_ch" w:type="character">
    <w:name w:val="Default"/>
    <w:link w:val="Style_36"/>
    <w:rPr>
      <w:color w:val="000000"/>
      <w:sz w:val="24"/>
    </w:rPr>
  </w:style>
  <w:style w:styleId="Style_37" w:type="paragraph">
    <w:name w:val="Subtitle"/>
    <w:next w:val="Style_5"/>
    <w:link w:val="Style_37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7_ch" w:type="character">
    <w:name w:val="Subtitle"/>
    <w:link w:val="Style_37"/>
    <w:rPr>
      <w:rFonts w:ascii="XO Thames" w:hAnsi="XO Thames"/>
      <w:i w:val="1"/>
      <w:sz w:val="24"/>
    </w:rPr>
  </w:style>
  <w:style w:styleId="Style_38" w:type="paragraph">
    <w:name w:val="Body Text"/>
    <w:basedOn w:val="Style_5"/>
    <w:link w:val="Style_38_ch"/>
    <w:pPr>
      <w:widowControl w:val="1"/>
      <w:ind/>
      <w:jc w:val="center"/>
    </w:pPr>
    <w:rPr>
      <w:b w:val="1"/>
      <w:caps w:val="1"/>
      <w:sz w:val="28"/>
    </w:rPr>
  </w:style>
  <w:style w:styleId="Style_38_ch" w:type="character">
    <w:name w:val="Body Text"/>
    <w:basedOn w:val="Style_5_ch"/>
    <w:link w:val="Style_38"/>
    <w:rPr>
      <w:b w:val="1"/>
      <w:caps w:val="1"/>
      <w:sz w:val="28"/>
    </w:rPr>
  </w:style>
  <w:style w:styleId="Style_39" w:type="paragraph">
    <w:name w:val="Title"/>
    <w:next w:val="Style_5"/>
    <w:link w:val="Style_3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9_ch" w:type="character">
    <w:name w:val="Title"/>
    <w:link w:val="Style_39"/>
    <w:rPr>
      <w:rFonts w:ascii="XO Thames" w:hAnsi="XO Thames"/>
      <w:b w:val="1"/>
      <w:caps w:val="1"/>
      <w:sz w:val="40"/>
    </w:rPr>
  </w:style>
  <w:style w:styleId="Style_40" w:type="paragraph">
    <w:name w:val="heading 4"/>
    <w:next w:val="Style_5"/>
    <w:link w:val="Style_4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0_ch" w:type="character">
    <w:name w:val="heading 4"/>
    <w:link w:val="Style_40"/>
    <w:rPr>
      <w:rFonts w:ascii="XO Thames" w:hAnsi="XO Thames"/>
      <w:b w:val="1"/>
      <w:sz w:val="24"/>
    </w:rPr>
  </w:style>
  <w:style w:styleId="Style_41" w:type="paragraph">
    <w:name w:val="heading 2"/>
    <w:basedOn w:val="Style_5"/>
    <w:next w:val="Style_5"/>
    <w:link w:val="Style_41_ch"/>
    <w:uiPriority w:val="9"/>
    <w:qFormat/>
    <w:pPr>
      <w:keepNext w:val="1"/>
      <w:widowControl w:val="1"/>
      <w:spacing w:line="302" w:lineRule="exact"/>
      <w:ind/>
      <w:jc w:val="center"/>
      <w:outlineLvl w:val="1"/>
    </w:pPr>
    <w:rPr>
      <w:b w:val="1"/>
      <w:caps w:val="1"/>
      <w:color w:val="000000"/>
      <w:spacing w:val="-7"/>
      <w:sz w:val="28"/>
    </w:rPr>
  </w:style>
  <w:style w:styleId="Style_41_ch" w:type="character">
    <w:name w:val="heading 2"/>
    <w:basedOn w:val="Style_5_ch"/>
    <w:link w:val="Style_41"/>
    <w:rPr>
      <w:b w:val="1"/>
      <w:caps w:val="1"/>
      <w:color w:val="000000"/>
      <w:spacing w:val="-7"/>
      <w:sz w:val="28"/>
    </w:rPr>
  </w:style>
  <w:style w:styleId="Style_42" w:type="table">
    <w:name w:val="Table Grid"/>
    <w:basedOn w:val="Style_4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footer4.xml" Type="http://schemas.openxmlformats.org/officeDocument/2006/relationships/footer"/>
  <Relationship Id="rId1" Target="header1.xml" Type="http://schemas.openxmlformats.org/officeDocument/2006/relationships/header"/>
  <Relationship Id="rId8" Target="settings.xml" Type="http://schemas.openxmlformats.org/officeDocument/2006/relationships/settings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7" Target="fontTable.xml" Type="http://schemas.openxmlformats.org/officeDocument/2006/relationships/fontTable"/>
  <Relationship Id="rId5" Target="header5.xml" Type="http://schemas.openxmlformats.org/officeDocument/2006/relationships/header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9" Target="styles.xml" Type="http://schemas.openxmlformats.org/officeDocument/2006/relationships/styles"/>
  <Relationship Id="rId6" Target="footer6.xml" Type="http://schemas.openxmlformats.org/officeDocument/2006/relationships/footer"/>
  <Relationship Id="rId11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MyOffice-CoreFramework-Windows/39-1403.1128.10324.1037.1@e8ff5f727e334356b492384cca4cf28c85978f47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2026-07-14T06:02:00Z</dcterms:created>
  <dcterms:modified xsi:type="dcterms:W3CDTF">2026-08-18T05:57:23Z</dcterms:modified>
</cp:coreProperties>
</file>