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по противодействию коррупции в сферах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округ Краснодарского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по противодействию коррупции в сферах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29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ст. Ленинградская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администрация, каб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№19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98" w:type="dxa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6522"/>
      </w:tblGrid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Шерстобитов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Головатский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Совета.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W w:w="94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Анатольевич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делами администрации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Ивановна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Мишняков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Иванович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Офицерова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Юрьевна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Тертица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Тоцкая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Рита Григорьевна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Ленинградского муниципального округа, начальник отдела имущественных отношений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Фесюра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кадров и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Леонидовна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Ленинградского территориального управления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Шмарoвоз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</w:tbl>
    <w:p>
      <w:pPr>
        <w:jc w:val="lef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:u w:val="single"/>
          <w14:ligatures w14:val="none"/>
        </w:rPr>
        <w:t xml:space="preserve">Повестка дня:</w:t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1.О восприятии уровня коррупции 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муниципальном образовании Ленинградский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со стороны общества и бизнеса в 2025 году – докладчик Офицерова Е.Ю.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;</w:t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2.О мониторинге коррупционных рисков в администрации муниципального образования Ленинградский район в 2025 году – докладчик Офицерова Е.Ю.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Рассмотрение вопросов повестки дня: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1 вопрос:</w:t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О восприятии уровня коррупции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в муниципальном образовании Ленинградский муниципальный округ 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со стороны общества и бизнеса в 2025 году.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/>
      <w:r/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ла</w:t>
      </w:r>
      <w:r>
        <w:rPr>
          <w:sz w:val="28"/>
          <w:szCs w:val="28"/>
        </w:rPr>
        <w:t xml:space="preserve">ном противодействия коррупции в </w:t>
      </w:r>
      <w:r>
        <w:rPr>
          <w:sz w:val="28"/>
          <w:szCs w:val="28"/>
        </w:rPr>
        <w:t xml:space="preserve">органах местного самоуправления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Ленинградский муниципальный округ Краснодарского края</w:t>
      </w:r>
      <w:r>
        <w:rPr>
          <w:sz w:val="28"/>
          <w:szCs w:val="28"/>
        </w:rPr>
        <w:t xml:space="preserve"> (далее – Ленинградский муниципальный округ) </w:t>
      </w:r>
      <w:r>
        <w:rPr>
          <w:sz w:val="28"/>
          <w:szCs w:val="28"/>
        </w:rPr>
        <w:t xml:space="preserve">проведен мониторинг восприятия уровня коррупции со стороны общества и бизнеса за прошедший 2025 год</w:t>
      </w:r>
      <w:r>
        <w:rPr>
          <w:sz w:val="28"/>
          <w:szCs w:val="28"/>
        </w:rPr>
        <w:t xml:space="preserve">.</w:t>
      </w:r>
      <w:r/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Юридическим отделом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по 25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проведено социологическое исследование восприятия уровня коррупции в органах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со стороны общества и бизнеса.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Целью исследования являлась оценка различными социальными слоями населения, постоянно проживающего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уровня коррупции в исполнительных органах государственной и муниципальной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исследования было опрошено 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физических лиц, проживающих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в возрасте от 18 лет и старше, и 4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физических лиц, занимающих руководящие должности в коммерческих организациях, зарегистрированных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либо лиц</w:t>
      </w:r>
      <w:r>
        <w:rPr>
          <w:sz w:val="28"/>
          <w:szCs w:val="28"/>
        </w:rPr>
        <w:t xml:space="preserve">, осуществляющи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коммерческую деятельность в качестве индивидуальных предпринимателей.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Сбор </w:t>
      </w:r>
      <w:r>
        <w:rPr>
          <w:sz w:val="28"/>
          <w:szCs w:val="28"/>
        </w:rPr>
        <w:t xml:space="preserve">оценочной информации производился путем анкетирования граждан в общественных местах, а также на предприятиях и в организациях 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Среди физических лиц, проживающих на территории муниципального образования Ленинградский район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возрасте от 18 лет и старше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ыло опрошено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социологическом исследовании приняли участие </w:t>
      </w:r>
      <w:r>
        <w:rPr>
          <w:sz w:val="28"/>
          <w:szCs w:val="28"/>
        </w:rPr>
        <w:t xml:space="preserve">64</w:t>
      </w:r>
      <w:r>
        <w:rPr>
          <w:sz w:val="28"/>
          <w:szCs w:val="28"/>
        </w:rPr>
        <w:t xml:space="preserve"> мужчины и </w:t>
      </w:r>
      <w:r>
        <w:rPr>
          <w:sz w:val="28"/>
          <w:szCs w:val="28"/>
        </w:rPr>
        <w:t xml:space="preserve">136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женщин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Возрастной </w:t>
      </w: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опрошенных приведён в диаграмме.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/>
        <w:jc w:val="both"/>
        <w:spacing w:before="0" w:beforeAutospacing="0" w:after="0" w:afterAutospacing="0"/>
        <w:tabs>
          <w:tab w:val="right" w:pos="9644" w:leader="none"/>
        </w:tabs>
        <w:rPr>
          <w:sz w:val="20"/>
          <w:szCs w:val="20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2176145</wp:posOffset>
                </wp:positionV>
                <wp:extent cx="1095375" cy="1403985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4" cy="14039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Возраст</w:t>
                            </w:r>
                            <w:r>
                              <w:rPr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7.10pt;mso-position-horizontal:absolute;mso-position-vertical-relative:text;margin-top:171.35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Возраст</w:t>
                      </w:r>
                      <w:r>
                        <w:rPr>
                          <w:b/>
                        </w:rPr>
                        <w:t xml:space="preserve">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655320</wp:posOffset>
                </wp:positionV>
                <wp:extent cx="1866900" cy="140398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899" cy="14039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Из 2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00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опрошенных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75648;o:allowoverlap:true;o:allowincell:true;mso-position-horizontal-relative:text;margin-left:5.60pt;mso-position-horizontal:absolute;mso-position-vertical-relative:text;margin-top:51.60pt;mso-position-vertical:absolute;width:147.00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Из 2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00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опрошенных</w:t>
                      </w:r>
                      <w:r>
                        <w:rPr>
                          <w:b/>
                          <w:sz w:val="28"/>
                        </w:rPr>
                        <w:t xml:space="preserve">:</w:t>
                      </w: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drawing>
          <wp:inline distT="0" distB="0" distL="0" distR="0">
            <wp:extent cx="6019799" cy="2447923"/>
            <wp:effectExtent l="4762" t="4762" r="4762" b="4762"/>
            <wp:docPr id="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ходе социологических исследований получены следующие данные, характеризующие восприятие уровня коррупции в </w:t>
      </w:r>
      <w:r>
        <w:rPr>
          <w:sz w:val="28"/>
          <w:szCs w:val="28"/>
        </w:rPr>
        <w:t xml:space="preserve">Ленинградском муниципальном округе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вопрос анкеты «Приходилось ли Вам давать взятку</w:t>
      </w:r>
      <w:r>
        <w:rPr>
          <w:sz w:val="28"/>
          <w:szCs w:val="28"/>
        </w:rPr>
        <w:t xml:space="preserve"> (когда-либо)</w:t>
      </w:r>
      <w:r>
        <w:rPr>
          <w:sz w:val="28"/>
          <w:szCs w:val="28"/>
        </w:rPr>
        <w:t xml:space="preserve"> должностным лицам?» - </w:t>
      </w:r>
      <w:r>
        <w:rPr>
          <w:sz w:val="28"/>
          <w:szCs w:val="28"/>
        </w:rPr>
        <w:t xml:space="preserve">197</w:t>
      </w:r>
      <w:r>
        <w:rPr>
          <w:sz w:val="28"/>
          <w:szCs w:val="28"/>
        </w:rPr>
        <w:t xml:space="preserve"> опрошенных из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ответили, что не приходилось. Доля респондентов, заявивших о даче взятки, составила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или 3</w:t>
      </w:r>
      <w:r>
        <w:rPr>
          <w:sz w:val="28"/>
          <w:szCs w:val="28"/>
        </w:rPr>
        <w:t xml:space="preserve"> человека из 2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, что ниже на 2 % по итогам мониторинга  2024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 числа опрошенных, заявивших о даче взятки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жител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давали взятку должностным лицам в прошедшем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 числа заявивших о даче взятки должностным лицам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из 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сообщили о том, что это был единичный случай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вопрос «В пределах какой суммы Вам приходилось давать взятку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респондента</w:t>
      </w:r>
      <w:r>
        <w:rPr>
          <w:sz w:val="28"/>
          <w:szCs w:val="28"/>
        </w:rPr>
        <w:t xml:space="preserve"> сообщили о сумме до 15</w:t>
      </w:r>
      <w:r>
        <w:rPr>
          <w:sz w:val="28"/>
          <w:szCs w:val="28"/>
        </w:rPr>
        <w:t xml:space="preserve">,0</w:t>
      </w:r>
      <w:r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 xml:space="preserve">, о сумме взятки более 60</w:t>
      </w:r>
      <w:r>
        <w:rPr>
          <w:sz w:val="28"/>
          <w:szCs w:val="28"/>
        </w:rPr>
        <w:t xml:space="preserve"> ни</w:t>
      </w:r>
      <w:r>
        <w:rPr>
          <w:sz w:val="28"/>
          <w:szCs w:val="28"/>
        </w:rPr>
        <w:t xml:space="preserve">кто из опрошенных не заявил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ходе социологического опроса жители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дали оценку степени д</w:t>
      </w:r>
      <w:r>
        <w:rPr>
          <w:sz w:val="28"/>
          <w:szCs w:val="28"/>
        </w:rPr>
        <w:t xml:space="preserve">овери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 органам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доверия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доверия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получ</w:t>
      </w:r>
      <w:r>
        <w:rPr>
          <w:sz w:val="28"/>
          <w:szCs w:val="28"/>
        </w:rPr>
        <w:t xml:space="preserve">ены</w:t>
      </w:r>
      <w:r>
        <w:rPr>
          <w:sz w:val="28"/>
          <w:szCs w:val="28"/>
        </w:rPr>
        <w:t xml:space="preserve"> следующие результаты: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3004185</wp:posOffset>
                </wp:positionV>
                <wp:extent cx="971550" cy="247650"/>
                <wp:effectExtent l="0" t="0" r="0" b="0"/>
                <wp:wrapNone/>
                <wp:docPr id="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4764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77696;o:allowoverlap:true;o:allowincell:true;mso-position-horizontal-relative:text;margin-left:4.20pt;mso-position-horizontal:absolute;mso-position-vertical-relative:text;margin-top:236.55pt;mso-position-vertical:absolute;width:76.50pt;height:19.50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086470" cy="3248020"/>
            <wp:effectExtent l="4762" t="4762" r="4762" b="4762"/>
            <wp:docPr id="5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Также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ходе социологического опроса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уточнялась</w:t>
      </w:r>
      <w:r>
        <w:rPr>
          <w:sz w:val="28"/>
          <w:szCs w:val="28"/>
        </w:rPr>
        <w:t xml:space="preserve"> оценк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коррумпированности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</w:t>
      </w:r>
      <w:r>
        <w:rPr>
          <w:sz w:val="28"/>
          <w:szCs w:val="28"/>
        </w:rPr>
        <w:t xml:space="preserve">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</w:t>
      </w:r>
      <w:r>
        <w:rPr>
          <w:sz w:val="28"/>
          <w:szCs w:val="28"/>
        </w:rPr>
        <w:t xml:space="preserve">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полное отсутствие коррупции. </w:t>
      </w:r>
      <w:r>
        <w:rPr>
          <w:sz w:val="28"/>
          <w:szCs w:val="28"/>
        </w:rPr>
        <w:t xml:space="preserve">По итогам опроса 1,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% опрошенных дали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,5</w:t>
      </w:r>
      <w:r>
        <w:rPr>
          <w:sz w:val="28"/>
          <w:szCs w:val="28"/>
        </w:rPr>
        <w:t xml:space="preserve">% - дали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20,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оценили корумпированность 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опрошенных </w:t>
      </w:r>
      <w:r>
        <w:rPr>
          <w:sz w:val="28"/>
          <w:szCs w:val="28"/>
        </w:rPr>
        <w:t xml:space="preserve">дали оценку 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2912441</wp:posOffset>
                </wp:positionV>
                <wp:extent cx="1095375" cy="1403985"/>
                <wp:effectExtent l="0" t="0" r="0" b="0"/>
                <wp:wrapNone/>
                <wp:docPr id="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4" cy="14039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3360;o:allowoverlap:true;o:allowincell:true;mso-position-horizontal-relative:text;margin-left:-6.35pt;mso-position-horizontal:absolute;mso-position-vertical-relative:text;margin-top:229.33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114548" cy="3275937"/>
            <wp:effectExtent l="4762" t="4762" r="4762" b="4762"/>
            <wp:docPr id="7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Среди физических лиц, занимающих руководящие должности в коммерческих организациях, зарегистрированных на территории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либо лиц, осуществляющи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коммерческую деятельность в качестве индивидуальных предпринимателей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опрошено 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</w:t>
      </w:r>
      <w:r>
        <w:rPr>
          <w:sz w:val="28"/>
          <w:szCs w:val="28"/>
        </w:rPr>
        <w:t xml:space="preserve">. В числе опрошенных 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мужчин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и 13</w:t>
      </w:r>
      <w:r>
        <w:rPr>
          <w:sz w:val="28"/>
          <w:szCs w:val="28"/>
        </w:rPr>
        <w:t xml:space="preserve"> женщин. Возрастной </w:t>
      </w: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опрошенных приведён в диаграмме.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1907540</wp:posOffset>
                </wp:positionV>
                <wp:extent cx="1095375" cy="1403985"/>
                <wp:effectExtent l="0" t="0" r="0" b="0"/>
                <wp:wrapNone/>
                <wp:docPr id="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4" cy="14039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Возраст</w:t>
                            </w:r>
                            <w:r>
                              <w:rPr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79744;o:allowoverlap:true;o:allowincell:true;mso-position-horizontal-relative:text;margin-left:5.35pt;mso-position-horizontal:absolute;mso-position-vertical-relative:text;margin-top:150.20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Возраст</w:t>
                      </w:r>
                      <w:r>
                        <w:rPr>
                          <w:b/>
                        </w:rPr>
                        <w:t xml:space="preserve">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655320</wp:posOffset>
                </wp:positionV>
                <wp:extent cx="1866900" cy="1403985"/>
                <wp:effectExtent l="0" t="0" r="0" b="0"/>
                <wp:wrapNone/>
                <wp:docPr id="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899" cy="14039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Из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0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опрошенных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85888;o:allowoverlap:true;o:allowincell:true;mso-position-horizontal-relative:text;margin-left:5.60pt;mso-position-horizontal:absolute;mso-position-vertical-relative:text;margin-top:51.60pt;mso-position-vertical:absolute;width:147.00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Из 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4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0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опрошенных</w:t>
                      </w:r>
                      <w:r>
                        <w:rPr>
                          <w:b/>
                          <w:sz w:val="28"/>
                        </w:rPr>
                        <w:t xml:space="preserve">:</w:t>
                      </w:r>
                      <w:r>
                        <w:rPr>
                          <w:b/>
                          <w:sz w:val="28"/>
                        </w:rPr>
                      </w:r>
                      <w:r>
                        <w:rPr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drawing>
          <wp:inline distT="0" distB="0" distL="0" distR="0">
            <wp:extent cx="6019797" cy="2124071"/>
            <wp:effectExtent l="4762" t="4762" r="4762" b="4762"/>
            <wp:docPr id="10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6"/>
        <w:ind w:right="-5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ходе социологических исследований получены следующие данные, характеризующие восприятие уровня коррупции в </w:t>
      </w:r>
      <w:r>
        <w:rPr>
          <w:sz w:val="28"/>
          <w:szCs w:val="28"/>
        </w:rPr>
        <w:t xml:space="preserve">Ленинградском муниципальном округе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вопрос анкеты «Приходилось ли Вам давать взятку должностным лицам за последний год?» – </w:t>
      </w:r>
      <w:r>
        <w:rPr>
          <w:sz w:val="28"/>
          <w:szCs w:val="28"/>
        </w:rPr>
        <w:t xml:space="preserve">все респонденты заявили, о том, что не давали взятку </w:t>
      </w:r>
      <w:r>
        <w:rPr>
          <w:sz w:val="28"/>
          <w:szCs w:val="28"/>
        </w:rPr>
        <w:t xml:space="preserve"> за последний год.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опроса </w:t>
      </w:r>
      <w:r>
        <w:rPr>
          <w:sz w:val="28"/>
          <w:szCs w:val="28"/>
        </w:rPr>
        <w:t xml:space="preserve">среди представителей бизнеса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оценк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степени доверия к органам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доверия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доверия, получ</w:t>
      </w:r>
      <w:r>
        <w:rPr>
          <w:sz w:val="28"/>
          <w:szCs w:val="28"/>
        </w:rPr>
        <w:t xml:space="preserve">ены</w:t>
      </w:r>
      <w:r>
        <w:rPr>
          <w:sz w:val="28"/>
          <w:szCs w:val="28"/>
        </w:rPr>
        <w:t xml:space="preserve"> следующие результаты.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90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90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900"/>
        <w:jc w:val="both"/>
        <w:spacing w:before="0" w:beforeAutospacing="0" w:after="0" w:afterAutospacing="0"/>
        <w:rPr>
          <w:sz w:val="12"/>
          <w:szCs w:val="12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3549650</wp:posOffset>
                </wp:positionV>
                <wp:extent cx="1095375" cy="1403985"/>
                <wp:effectExtent l="0" t="0" r="0" b="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4" cy="4145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86912;o:allowoverlap:true;o:allowincell:true;mso-position-horizontal-relative:text;margin-left:11.35pt;mso-position-horizontal:absolute;mso-position-vertical-relative:text;margin-top:279.50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153146" cy="3809996"/>
            <wp:effectExtent l="4762" t="4762" r="4762" b="4762"/>
            <wp:docPr id="12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900"/>
        <w:jc w:val="both"/>
        <w:spacing w:before="0" w:beforeAutospacing="0" w:after="0" w:afterAutospacing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86"/>
        <w:ind w:right="-5" w:firstLine="900"/>
        <w:jc w:val="both"/>
        <w:spacing w:before="0" w:beforeAutospacing="0" w:after="0" w:afterAutospacing="0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ходе социологического опроса </w:t>
      </w:r>
      <w:r>
        <w:rPr>
          <w:sz w:val="28"/>
          <w:szCs w:val="28"/>
        </w:rPr>
        <w:t xml:space="preserve">представител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бизнеса 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ли</w:t>
      </w:r>
      <w:r>
        <w:rPr>
          <w:sz w:val="28"/>
          <w:szCs w:val="28"/>
        </w:rPr>
        <w:t xml:space="preserve"> оценку коррумпированности органов местного самоуправления муниципального образования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по десятибалльной шкале, где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высокий уровень 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самый низкий уровень коррумпированности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– полное отсутствие коррупции. </w:t>
      </w:r>
      <w:r>
        <w:rPr>
          <w:sz w:val="28"/>
          <w:szCs w:val="28"/>
        </w:rPr>
        <w:t xml:space="preserve">По итогам опроса, </w:t>
      </w:r>
      <w:r>
        <w:rPr>
          <w:sz w:val="28"/>
          <w:szCs w:val="28"/>
        </w:rPr>
        <w:t xml:space="preserve">ни кто из </w:t>
      </w:r>
      <w:r>
        <w:rPr>
          <w:sz w:val="28"/>
          <w:szCs w:val="28"/>
        </w:rPr>
        <w:t xml:space="preserve">опрошенных 1 респондент дал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2,5 </w:t>
      </w:r>
      <w:r>
        <w:rPr>
          <w:sz w:val="28"/>
          <w:szCs w:val="28"/>
        </w:rPr>
        <w:t xml:space="preserve">% - дали оценку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% оценили коррумпированность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5,0</w:t>
      </w:r>
      <w:r>
        <w:rPr>
          <w:sz w:val="28"/>
          <w:szCs w:val="28"/>
        </w:rPr>
        <w:t xml:space="preserve">% опрошенных дали оценку 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баллов.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2675890</wp:posOffset>
                </wp:positionV>
                <wp:extent cx="1095375" cy="1403985"/>
                <wp:effectExtent l="0" t="0" r="0" b="0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4" cy="14039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Баллы: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80768;o:allowoverlap:true;o:allowincell:true;mso-position-horizontal-relative:text;margin-left:-6.35pt;mso-position-horizontal:absolute;mso-position-vertical-relative:text;margin-top:210.70pt;mso-position-vertical:absolute;width:86.25pt;height:110.55pt;mso-wrap-distance-left:9.00pt;mso-wrap-distance-top:0.00pt;mso-wrap-distance-right:9.00pt;mso-wrap-distance-bottom:0.00pt;v-text-anchor:top;visibility:visible;" fillcolor="#FFFFFF" stroked="f" strokeweight="0.75pt">
                <v:fill opacity="100f"/>
                <v:textbox inset="0,0,0,0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Баллы: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6115045" cy="2997197"/>
            <wp:effectExtent l="4762" t="4762" r="4762" b="4762"/>
            <wp:docPr id="14" name="Диаграмма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/>
        <w:jc w:val="center"/>
        <w:spacing w:before="0" w:beforeAutospacing="0" w:after="0" w:afterAutospacing="0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886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 </w:t>
      </w:r>
      <w:r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мониторинга восприятия уровня коррупции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 образовании </w:t>
      </w:r>
      <w:r>
        <w:rPr>
          <w:b/>
          <w:sz w:val="28"/>
          <w:szCs w:val="28"/>
        </w:rPr>
        <w:t xml:space="preserve">Ленинградский</w:t>
      </w:r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ind w:right="-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ind w:right="-5"/>
        <w:jc w:val="center"/>
        <w:spacing w:before="0" w:beforeAutospacing="0" w:after="0" w:afterAutospacing="0"/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Согласно оценке граждан</w:t>
      </w:r>
      <w:r>
        <w:rPr>
          <w:sz w:val="28"/>
          <w:szCs w:val="28"/>
        </w:rPr>
        <w:t xml:space="preserve"> и представителей бизнеса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особо </w:t>
      </w:r>
      <w:r>
        <w:rPr>
          <w:sz w:val="28"/>
          <w:szCs w:val="28"/>
        </w:rPr>
        <w:t xml:space="preserve">коррумпированны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сфер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отраслевых (функциональных) </w:t>
      </w:r>
      <w:r>
        <w:rPr>
          <w:sz w:val="28"/>
          <w:szCs w:val="28"/>
        </w:rPr>
        <w:t xml:space="preserve">и территориальных органов </w:t>
      </w:r>
      <w:r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подведомственных казенных, бюджетных, автономных учреждений как и в прошлом году </w:t>
      </w:r>
      <w:r>
        <w:rPr>
          <w:sz w:val="28"/>
          <w:szCs w:val="28"/>
        </w:rPr>
        <w:t xml:space="preserve">является деятельность в области</w:t>
      </w:r>
      <w:r>
        <w:rPr>
          <w:sz w:val="28"/>
          <w:szCs w:val="28"/>
        </w:rPr>
        <w:t xml:space="preserve"> земель</w:t>
      </w:r>
      <w:r>
        <w:rPr>
          <w:sz w:val="28"/>
          <w:szCs w:val="28"/>
        </w:rPr>
        <w:t xml:space="preserve">ных и имущественных отношений, </w:t>
      </w:r>
      <w:r>
        <w:rPr>
          <w:sz w:val="28"/>
          <w:szCs w:val="28"/>
        </w:rPr>
        <w:t xml:space="preserve">архитектуры, строительства и  муниципального заказа, как наиболее подверженные коррупционным рискам.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планируется</w:t>
      </w:r>
      <w:r>
        <w:rPr>
          <w:sz w:val="28"/>
          <w:szCs w:val="28"/>
        </w:rPr>
        <w:t xml:space="preserve"> продолжать следующую работу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увеличение количества </w:t>
      </w:r>
      <w:r>
        <w:rPr>
          <w:sz w:val="28"/>
          <w:szCs w:val="28"/>
        </w:rPr>
        <w:t xml:space="preserve">публикаци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 xml:space="preserve">материалов в </w:t>
      </w:r>
      <w:r>
        <w:rPr>
          <w:sz w:val="28"/>
          <w:szCs w:val="28"/>
        </w:rPr>
        <w:t xml:space="preserve">СМИ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направленные на формирование позитивного общественного мнения о деятельности органов местного самоуправления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деятельности р</w:t>
      </w:r>
      <w:r>
        <w:rPr>
          <w:sz w:val="28"/>
          <w:szCs w:val="28"/>
        </w:rPr>
        <w:t xml:space="preserve">уководителям отраслевых (функциональных) и территориальных органов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постоянной </w:t>
      </w:r>
      <w:r>
        <w:rPr>
          <w:sz w:val="28"/>
          <w:szCs w:val="28"/>
        </w:rPr>
        <w:t xml:space="preserve">основе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мероприятий по</w:t>
      </w:r>
      <w:r>
        <w:rPr>
          <w:sz w:val="28"/>
          <w:szCs w:val="28"/>
        </w:rPr>
        <w:t xml:space="preserve"> выявлению и</w:t>
      </w:r>
      <w:r>
        <w:rPr>
          <w:sz w:val="28"/>
          <w:szCs w:val="28"/>
        </w:rPr>
        <w:t xml:space="preserve"> устранению условий, способствующих совершению коррупционных правонарушений, с которыми граждане встречаются наиболее часто (бытовая коррупция), а также </w:t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их выполнением;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оручить руководителям </w:t>
      </w:r>
      <w:r>
        <w:rPr>
          <w:sz w:val="28"/>
          <w:szCs w:val="28"/>
        </w:rPr>
        <w:t xml:space="preserve">отраслевых (функциональных) и территориальных органов администрации </w:t>
      </w:r>
      <w:r>
        <w:rPr>
          <w:sz w:val="28"/>
          <w:szCs w:val="28"/>
        </w:rPr>
        <w:t xml:space="preserve">Ленинградского муниципального округа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продолжи</w:t>
      </w:r>
      <w:r>
        <w:rPr>
          <w:sz w:val="28"/>
          <w:szCs w:val="28"/>
        </w:rPr>
        <w:t xml:space="preserve">ть проведение </w:t>
      </w:r>
      <w:r>
        <w:rPr>
          <w:sz w:val="28"/>
          <w:szCs w:val="28"/>
        </w:rPr>
        <w:t xml:space="preserve">среди подчиненных </w:t>
      </w:r>
      <w:r>
        <w:rPr>
          <w:sz w:val="28"/>
          <w:szCs w:val="28"/>
        </w:rPr>
        <w:t xml:space="preserve">разъяснительн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недопущении </w:t>
      </w:r>
      <w:r>
        <w:rPr>
          <w:sz w:val="28"/>
          <w:szCs w:val="28"/>
        </w:rPr>
        <w:t xml:space="preserve">совершения коррупционных и иных правонарушений при исполнении ими должностных обязанностей, обеспечивать профессиональное становление, развитие и адаптацию к квалифицированному исполнению должностных обязанностей вновь назначенных служащих.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-5" w:firstLine="85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2 вопрос:</w:t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О мониторинге коррупционных рисков в администрации муниципального образования Ленинградский район в 2025 году</w:t>
      </w:r>
      <w:r/>
    </w:p>
    <w:p>
      <w:pPr>
        <w:ind w:left="0" w:right="0" w:firstLine="850"/>
        <w:jc w:val="both"/>
        <w:spacing w:after="0" w:line="240" w:lineRule="auto"/>
        <w:widowControl w:val="off"/>
        <w:tabs>
          <w:tab w:val="left" w:pos="7655" w:leader="none"/>
        </w:tabs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886"/>
        <w:ind w:firstLine="902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Ленинградский район от 6 июня 2014 года № 686 «Об утверждении Порядка проведения мониторинга правоприменения муниципальных нормативных правовых актов администрации муниципального образ</w:t>
      </w:r>
      <w:r>
        <w:rPr>
          <w:sz w:val="28"/>
          <w:szCs w:val="28"/>
        </w:rPr>
        <w:t xml:space="preserve">ования Ленинградский район» и Планом мониторинга муниципальных правовых актов на 2025 год, утвержденным постановлением администрации муниципального образования Ленинградский район от 17 декабря 2024 года № 1383 «Об утверждении Плана мониторинга муниципальны</w:t>
      </w:r>
      <w:r>
        <w:rPr>
          <w:sz w:val="28"/>
          <w:szCs w:val="28"/>
        </w:rPr>
        <w:t xml:space="preserve">х правовых актов администрации Ленинградского муниципального округа на 2025 год» юридическим отделом администрации муниципального образования Ленинградский муниципальный округ Краснодарского края был проведен мониторинг правоприменения муниципальных правовы</w:t>
      </w:r>
      <w:r>
        <w:rPr>
          <w:sz w:val="28"/>
          <w:szCs w:val="28"/>
        </w:rPr>
        <w:t xml:space="preserve">х актов за 2025 год.</w:t>
      </w:r>
      <w:r>
        <w:rPr>
          <w:sz w:val="28"/>
          <w:szCs w:val="28"/>
        </w:rPr>
      </w:r>
    </w:p>
    <w:p>
      <w:pPr>
        <w:pStyle w:val="886"/>
        <w:ind w:firstLine="902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 В целях проведения мониторинга было проанализировано 16 нормативных правовых актов. Анализ мониторинга позволяет сделать следующие выводы:</w:t>
      </w:r>
      <w:r>
        <w:rPr>
          <w:sz w:val="28"/>
          <w:szCs w:val="28"/>
        </w:rPr>
      </w:r>
    </w:p>
    <w:p>
      <w:pPr>
        <w:pStyle w:val="886"/>
        <w:ind w:firstLine="902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 - антикоррупционная экспертиза проведена, 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</w:t>
      </w:r>
      <w:r>
        <w:rPr>
          <w:sz w:val="28"/>
          <w:szCs w:val="28"/>
        </w:rPr>
        <w:t xml:space="preserve">овыполнимые и (или) обременительные требования к гражданам и организациям, в правовых актах не выявлены;</w:t>
      </w:r>
      <w:r>
        <w:rPr>
          <w:sz w:val="28"/>
          <w:szCs w:val="28"/>
        </w:rPr>
      </w:r>
    </w:p>
    <w:p>
      <w:pPr>
        <w:pStyle w:val="886"/>
        <w:ind w:firstLine="902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 - 16 муниципальных нормативных правовых актов содержат противоречия действующему законодательству и недостатки, в связи с чем было рекомендовано разработчикам - отраслевым (функциональным) органам администрации муниципального образования провести работу по</w:t>
      </w:r>
      <w:r>
        <w:rPr>
          <w:sz w:val="28"/>
          <w:szCs w:val="28"/>
        </w:rPr>
        <w:t xml:space="preserve"> совершенствованию нормативных актов путем издания изменений или признания утратившими силу (отмены), однако в связи с изменениями в 2025 году действующего законодательства в сфере предоставления государственных и муниципальных услуг работа по совершенствов</w:t>
      </w:r>
      <w:r>
        <w:rPr>
          <w:sz w:val="28"/>
          <w:szCs w:val="28"/>
        </w:rPr>
        <w:t xml:space="preserve">анию данных нормативных актов будет продолжена в 2026 году;</w:t>
      </w:r>
      <w:r>
        <w:rPr>
          <w:sz w:val="28"/>
          <w:szCs w:val="28"/>
        </w:rPr>
      </w:r>
    </w:p>
    <w:p>
      <w:pPr>
        <w:pStyle w:val="886"/>
        <w:ind w:firstLine="902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 - 1 постановление администрации Ленинградского муниципального округа приведено в соответствие с действующим законодательством.</w:t>
      </w:r>
      <w:r>
        <w:rPr>
          <w:sz w:val="28"/>
          <w:szCs w:val="28"/>
        </w:rPr>
      </w:r>
    </w:p>
    <w:p>
      <w:pPr>
        <w:pStyle w:val="886"/>
        <w:ind w:firstLine="902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 В целях его приведения в соответствие с действующим законодательством принято:</w:t>
      </w:r>
      <w:r>
        <w:rPr>
          <w:sz w:val="28"/>
          <w:szCs w:val="28"/>
        </w:rPr>
      </w:r>
    </w:p>
    <w:p>
      <w:pPr>
        <w:pStyle w:val="886"/>
        <w:ind w:firstLine="90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муниципального образования Ленинградский муниципальный округ Краснодарского края от 21.08.2025 г. № 1122 «О внесении изменений в постановление администрации муниципального образования Ленинградский район от 18 декабря 2020 г. </w:t>
      </w:r>
      <w:r>
        <w:rPr>
          <w:sz w:val="28"/>
          <w:szCs w:val="28"/>
        </w:rPr>
        <w:t xml:space="preserve">№ 1233 «Об утверждении административного регламента предоставления муниципальной услуги «Постановка граждан, имеющих трех и более детей, на учет в качестве лиц, имеющих право на предоставление им земельных участков в собственность бесплатно».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я Совета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сферах деятельности органов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В.Н.Шерстобитов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851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Д.Л.Головатский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276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6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9839644"/>
      <w:docPartObj>
        <w:docPartGallery w:val="Page Numbers (Top of Page)"/>
        <w:docPartUnique w:val="true"/>
      </w:docPartObj>
      <w:rPr/>
    </w:sdtPr>
    <w:sdtContent>
      <w:p>
        <w:pPr>
          <w:pStyle w:val="89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0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0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0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0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0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7"/>
    <w:next w:val="877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0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77"/>
    <w:next w:val="877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0"/>
    <w:link w:val="723"/>
    <w:uiPriority w:val="10"/>
    <w:rPr>
      <w:sz w:val="48"/>
      <w:szCs w:val="48"/>
    </w:rPr>
  </w:style>
  <w:style w:type="paragraph" w:styleId="725">
    <w:name w:val="Subtitle"/>
    <w:basedOn w:val="877"/>
    <w:next w:val="877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0"/>
    <w:link w:val="725"/>
    <w:uiPriority w:val="11"/>
    <w:rPr>
      <w:sz w:val="24"/>
      <w:szCs w:val="24"/>
    </w:rPr>
  </w:style>
  <w:style w:type="paragraph" w:styleId="727">
    <w:name w:val="Quote"/>
    <w:basedOn w:val="877"/>
    <w:next w:val="877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7"/>
    <w:next w:val="877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0"/>
    <w:link w:val="899"/>
    <w:uiPriority w:val="99"/>
  </w:style>
  <w:style w:type="character" w:styleId="732">
    <w:name w:val="Footer Char"/>
    <w:basedOn w:val="880"/>
    <w:link w:val="901"/>
    <w:uiPriority w:val="99"/>
  </w:style>
  <w:style w:type="paragraph" w:styleId="733">
    <w:name w:val="Caption"/>
    <w:basedOn w:val="877"/>
    <w:next w:val="877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901"/>
    <w:uiPriority w:val="99"/>
  </w:style>
  <w:style w:type="table" w:styleId="735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link w:val="89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9">
    <w:name w:val="Heading 2"/>
    <w:basedOn w:val="877"/>
    <w:link w:val="885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table" w:styleId="88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4">
    <w:name w:val="List Paragraph"/>
    <w:basedOn w:val="877"/>
    <w:uiPriority w:val="34"/>
    <w:qFormat/>
    <w:pPr>
      <w:contextualSpacing/>
      <w:ind w:left="720"/>
    </w:pPr>
  </w:style>
  <w:style w:type="character" w:styleId="885" w:customStyle="1">
    <w:name w:val="Заголовок 2 Знак"/>
    <w:basedOn w:val="880"/>
    <w:link w:val="87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86">
    <w:name w:val="Normal (Web)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Balloon Text"/>
    <w:basedOn w:val="877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880"/>
    <w:link w:val="887"/>
    <w:uiPriority w:val="99"/>
    <w:semiHidden/>
    <w:rPr>
      <w:rFonts w:ascii="Tahoma" w:hAnsi="Tahoma" w:cs="Tahoma"/>
      <w:sz w:val="16"/>
      <w:szCs w:val="16"/>
    </w:rPr>
  </w:style>
  <w:style w:type="character" w:styleId="889">
    <w:name w:val="Hyperlink"/>
    <w:basedOn w:val="880"/>
    <w:rPr>
      <w:color w:val="0000ff"/>
      <w:u w:val="single"/>
    </w:rPr>
  </w:style>
  <w:style w:type="paragraph" w:styleId="890" w:customStyle="1">
    <w:name w:val="Знак Знак Знак Знак Знак Знак Знак Знак Знак Знак"/>
    <w:basedOn w:val="877"/>
    <w:pPr>
      <w:jc w:val="right"/>
      <w:spacing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891" w:customStyle="1">
    <w:name w:val="Основной текст_"/>
    <w:basedOn w:val="880"/>
    <w:link w:val="894"/>
    <w:rPr>
      <w:rFonts w:ascii="Times New Roman" w:hAnsi="Times New Roman" w:eastAsia="Times New Roman" w:cs="Times New Roman"/>
      <w:spacing w:val="4"/>
      <w:sz w:val="23"/>
      <w:szCs w:val="23"/>
      <w:shd w:val="clear" w:color="auto" w:fill="ffffff"/>
    </w:rPr>
  </w:style>
  <w:style w:type="character" w:styleId="892" w:customStyle="1">
    <w:name w:val="Основной текст + 12 pt"/>
    <w:basedOn w:val="891"/>
    <w:rPr>
      <w:rFonts w:ascii="Times New Roman" w:hAnsi="Times New Roman" w:eastAsia="Times New Roman" w:cs="Times New Roman"/>
      <w:color w:val="000000"/>
      <w:spacing w:val="4"/>
      <w:position w:val="0"/>
      <w:sz w:val="24"/>
      <w:szCs w:val="24"/>
      <w:shd w:val="clear" w:color="auto" w:fill="ffffff"/>
      <w:lang w:val="ru-RU"/>
    </w:rPr>
  </w:style>
  <w:style w:type="character" w:styleId="893" w:customStyle="1">
    <w:name w:val="Основной текст + 11 pt;Интервал 0 pt"/>
    <w:basedOn w:val="891"/>
    <w:rPr>
      <w:rFonts w:ascii="Times New Roman" w:hAnsi="Times New Roman" w:eastAsia="Times New Roman" w:cs="Times New Roman"/>
      <w:color w:val="000000"/>
      <w:spacing w:val="5"/>
      <w:position w:val="0"/>
      <w:sz w:val="22"/>
      <w:szCs w:val="22"/>
      <w:shd w:val="clear" w:color="auto" w:fill="ffffff"/>
      <w:lang w:val="ru-RU"/>
    </w:rPr>
  </w:style>
  <w:style w:type="paragraph" w:styleId="894" w:customStyle="1">
    <w:name w:val="Основной текст1"/>
    <w:basedOn w:val="877"/>
    <w:link w:val="891"/>
    <w:pPr>
      <w:spacing w:after="0" w:line="298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4"/>
      <w:sz w:val="23"/>
      <w:szCs w:val="23"/>
    </w:rPr>
  </w:style>
  <w:style w:type="paragraph" w:styleId="895">
    <w:name w:val="No Spacing"/>
    <w:link w:val="906"/>
    <w:uiPriority w:val="1"/>
    <w:qFormat/>
    <w:pPr>
      <w:spacing w:after="0" w:line="240" w:lineRule="auto"/>
    </w:pPr>
  </w:style>
  <w:style w:type="character" w:styleId="896" w:customStyle="1">
    <w:name w:val="Заголовок 1 Знак"/>
    <w:basedOn w:val="880"/>
    <w:link w:val="87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7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9">
    <w:name w:val="Header"/>
    <w:basedOn w:val="877"/>
    <w:link w:val="9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880"/>
    <w:link w:val="899"/>
    <w:uiPriority w:val="99"/>
  </w:style>
  <w:style w:type="paragraph" w:styleId="901">
    <w:name w:val="Footer"/>
    <w:basedOn w:val="877"/>
    <w:link w:val="9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880"/>
    <w:link w:val="901"/>
    <w:uiPriority w:val="99"/>
  </w:style>
  <w:style w:type="character" w:styleId="903" w:customStyle="1">
    <w:name w:val="Гипертекстовая ссылка"/>
    <w:basedOn w:val="880"/>
    <w:uiPriority w:val="99"/>
    <w:rPr>
      <w:b/>
      <w:bCs/>
      <w:color w:val="106bbe"/>
    </w:rPr>
  </w:style>
  <w:style w:type="paragraph" w:styleId="904" w:customStyle="1">
    <w:name w:val="Нормальный (таблица)"/>
    <w:basedOn w:val="877"/>
    <w:next w:val="877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05" w:customStyle="1">
    <w:name w:val="Прижатый влево"/>
    <w:basedOn w:val="877"/>
    <w:next w:val="877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906" w:customStyle="1">
    <w:name w:val="Без интервала Знак"/>
    <w:basedOn w:val="880"/>
    <w:link w:val="895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Relationship Id="rId15" Type="http://schemas.openxmlformats.org/officeDocument/2006/relationships/chart" Target="charts/chart5.xml" /><Relationship Id="rId16" Type="http://schemas.openxmlformats.org/officeDocument/2006/relationships/chart" Target="charts/chart6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cs typeface="Times New Roman"/>
              </a:defRPr>
            </a:pPr>
            <a:r>
              <a:rPr lang="ru-RU" sz="1400" b="1" i="0" u="none" strike="noStrike">
                <a:latin typeface="Times New Roman"/>
                <a:cs typeface="Times New Roman"/>
              </a:rPr>
              <a:t>Структура возростного состава анкетируемых лиц</a:t>
            </a:r>
            <a:endParaRPr lang="ru-RU" sz="14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43240"/>
          <c:y val="0.139360"/>
          <c:w val="0.953590"/>
          <c:h val="0.740220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spPr bwMode="auto"/>
          <c:invertIfNegative val="0"/>
          <c:dLbls>
            <c:dLbl>
              <c:idx val="0"/>
              <c:layout>
                <c:manualLayout>
                  <c:x val="0.021090"/>
                  <c:y val="-0.0317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25</a:t>
                    </a:r>
                    <a:endParaRPr/>
                  </a:p>
                </c:rich>
              </c:tx>
            </c:dLbl>
            <c:dLbl>
              <c:idx val="1"/>
              <c:layout>
                <c:manualLayout>
                  <c:x val="0.018450"/>
                  <c:y val="-0.03579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137</a:t>
                    </a:r>
                    <a:endParaRPr/>
                  </a:p>
                </c:rich>
              </c:tx>
            </c:dLbl>
            <c:dLbl>
              <c:idx val="2"/>
              <c:layout>
                <c:manualLayout>
                  <c:x val="0.029530"/>
                  <c:y val="-0.04365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38</a:t>
                    </a:r>
                    <a:endParaRPr/>
                  </a:p>
                </c:rich>
              </c:tx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 xml:space="preserve">18-34 года</c:v>
                </c:pt>
                <c:pt idx="1">
                  <c:v xml:space="preserve">35-54 года</c:v>
                </c:pt>
                <c:pt idx="2">
                  <c:v xml:space="preserve">55 и выше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137</c:v>
                </c:pt>
                <c:pt idx="2">
                  <c:v>38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gapDepth val="171"/>
        <c:shape val="box"/>
        <c:axId val="310465841"/>
        <c:axId val="310465842"/>
      </c:bar3DChart>
      <c:catAx>
        <c:axId val="31046584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42"/>
        <c:crosses val="autoZero"/>
        <c:auto val="1"/>
        <c:lblAlgn val="ctr"/>
        <c:lblOffset val="100"/>
        <c:noMultiLvlLbl val="0"/>
      </c:catAx>
      <c:valAx>
        <c:axId val="31046584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0465841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19797" cy="2447921"/>
    </a:xfrm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0">
                <a:latin typeface="Times New Roman"/>
                <a:cs typeface="Times New Roman"/>
              </a:defRPr>
            </a:pPr>
            <a:r>
              <a:rPr lang="ru-RU" sz="1250" b="1" i="0">
                <a:latin typeface="Times New Roman"/>
                <a:cs typeface="Times New Roman"/>
              </a:rPr>
              <a:t>Оценка степени доверия к органам местного самоуправления муниципального образования по десятибалльной шкале, где "10" самый высокий уровень доверия, а "1" – самый низкий уровень доверия,          человек</a:t>
            </a:r>
            <a:endParaRPr lang="ru-RU" sz="1250">
              <a:latin typeface="Times New Roman"/>
              <a:cs typeface="Times New Roman"/>
            </a:endParaRPr>
          </a:p>
        </c:rich>
      </c:tx>
      <c:layout>
        <c:manualLayout>
          <c:x val="0.017650"/>
          <c:y val="0.02346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3540"/>
          <c:y val="0.285300"/>
          <c:w val="0.894610"/>
          <c:h val="0.617340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invertIfNegative val="0"/>
          <c:dLbls>
            <c:dLbl>
              <c:idx val="0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8</a:t>
                    </a:r>
                    <a:endParaRPr/>
                  </a:p>
                </c:rich>
              </c:tx>
            </c:dLbl>
            <c:dLbl>
              <c:idx val="1"/>
              <c:dLblPos val="ctr"/>
              <c:layout>
                <c:manualLayout>
                  <c:x val="0.007820"/>
                  <c:y val="0.0058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</a:t>
                    </a:r>
                    <a:endParaRPr/>
                  </a:p>
                </c:rich>
              </c:tx>
            </c:dLbl>
            <c:dLbl>
              <c:idx val="3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15</a:t>
                    </a:r>
                    <a:endParaRPr/>
                  </a:p>
                </c:rich>
              </c:tx>
            </c:dLbl>
            <c:dLbl>
              <c:idx val="5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14</a:t>
                    </a:r>
                    <a:endParaRPr/>
                  </a:p>
                </c:rich>
              </c:tx>
            </c:dLbl>
            <c:dLbl>
              <c:idx val="6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19</a:t>
                    </a:r>
                    <a:endParaRPr/>
                  </a:p>
                </c:rich>
              </c:tx>
            </c:dLbl>
            <c:dLbl>
              <c:idx val="7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22</a:t>
                    </a:r>
                    <a:endParaRPr/>
                  </a:p>
                </c:rich>
              </c:tx>
            </c:dLbl>
            <c:dLbl>
              <c:idx val="8"/>
              <c:dLblPos val="ctr"/>
              <c:layout/>
              <c:numFmt formatCode="General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>
                <c:rich>
                  <a:bodyPr wrap="square" lIns="38097" tIns="19047" rIns="38097" bIns="19047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18</a:t>
                    </a:r>
                    <a:endParaRPr/>
                  </a:p>
                </c:rich>
              </c:tx>
            </c:dLbl>
            <c:dLbl>
              <c:idx val="9"/>
              <c:dLblPos val="ctr"/>
              <c:layout/>
              <c:numFmt formatCode="#,##0.00" sourceLinked="0"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>
                <c:rich>
                  <a:bodyPr wrap="square" lIns="38097" tIns="19047" rIns="38097" bIns="19047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69</a:t>
                    </a:r>
                    <a:endParaRPr/>
                  </a:p>
                </c:rich>
              </c:tx>
            </c:dLbl>
            <c:dLbl>
              <c:idx val="4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18</a:t>
                    </a:r>
                    <a:endParaRPr/>
                  </a:p>
                </c:rich>
              </c:tx>
            </c:dLbl>
            <c:dLbl>
              <c:idx val="2"/>
              <c:dLblPos val="ctr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20</a:t>
                    </a:r>
                    <a:endParaRPr/>
                  </a:p>
                </c:rich>
              </c:tx>
            </c:dLbl>
            <c:dLblPos val="ctr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9</c:v>
                </c:pt>
                <c:pt idx="2">
                  <c:v>10</c:v>
                </c:pt>
                <c:pt idx="3">
                  <c:v>10</c:v>
                </c:pt>
                <c:pt idx="4">
                  <c:v>21</c:v>
                </c:pt>
                <c:pt idx="5">
                  <c:v>19</c:v>
                </c:pt>
                <c:pt idx="6">
                  <c:v>25</c:v>
                </c:pt>
                <c:pt idx="7">
                  <c:v>20</c:v>
                </c:pt>
                <c:pt idx="8">
                  <c:v>20</c:v>
                </c:pt>
                <c:pt idx="9">
                  <c:v>75</c:v>
                </c:pt>
              </c:numCache>
            </c:numRef>
          </c:val>
        </c:ser>
        <c:dLbls>
          <c:dLblPos val="ctr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overlap val="100"/>
        <c:axId val="310465843"/>
        <c:axId val="310465844"/>
      </c:barChart>
      <c:catAx>
        <c:axId val="310465843"/>
        <c:scaling>
          <c:orientation val="minMax"/>
        </c:scaling>
        <c:delete val="0"/>
        <c:axPos val="b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44"/>
        <c:crosses val="autoZero"/>
        <c:auto val="1"/>
        <c:lblAlgn val="ctr"/>
        <c:lblOffset val="100"/>
        <c:noMultiLvlLbl val="0"/>
      </c:catAx>
      <c:valAx>
        <c:axId val="310465844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310465843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86468" cy="3248019"/>
    </a:xfrm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/>
                <a:cs typeface="Times New Roman"/>
              </a:defRPr>
            </a:pPr>
            <a:r>
              <a:rPr lang="ru-RU" sz="1200" b="1" i="0">
                <a:latin typeface="Times New Roman"/>
                <a:cs typeface="Times New Roman"/>
              </a:rPr>
              <a:t>Оценка коррумпированности органов местного самоуправления по десятибалльной шкале, где "10" самый высокий уровень коррумпированности, "1" – самый низкий уровень коррумпированности, а "0" – полное отсутствие коррупции,       человек</a:t>
            </a:r>
            <a:endParaRPr lang="ru-RU" sz="12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69130"/>
          <c:y val="0.340510"/>
          <c:w val="0.903800"/>
          <c:h val="0.540570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dLblPos val="outEnd"/>
              <c:layout>
                <c:manualLayout>
                  <c:x val="-0.00155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</a:t>
                    </a:r>
                    <a:endParaRPr/>
                  </a:p>
                </c:rich>
              </c:tx>
            </c:dLbl>
            <c:dLbl>
              <c:idx val="5"/>
              <c:dLblPos val="outEnd"/>
              <c:layout>
                <c:manualLayout>
                  <c:x val="0.008300"/>
                  <c:y val="0.0038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p>
                    <a:pPr>
                      <a:defRPr/>
                    </a:pPr>
                    <a:r>
                      <a:rPr/>
                      <a:t>41</a:t>
                    </a:r>
                    <a:endParaRPr/>
                  </a:p>
                </c:rich>
              </c:tx>
            </c:dLbl>
            <c:dLbl>
              <c:idx val="1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14</a:t>
                    </a:r>
                    <a:endParaRPr/>
                  </a:p>
                </c:rich>
              </c:tx>
            </c:dLbl>
            <c:dLbl>
              <c:idx val="4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47</a:t>
                    </a:r>
                    <a:endParaRPr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36</a:t>
                    </a:r>
                    <a:endParaRPr/>
                  </a:p>
                </c:rich>
              </c:tx>
            </c:dLbl>
            <c:dLbl>
              <c:idx val="7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21</a:t>
                    </a:r>
                    <a:endParaRPr/>
                  </a:p>
                </c:rich>
              </c:tx>
            </c:dLbl>
            <c:dLbl>
              <c:idx val="8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15</a:t>
                    </a:r>
                    <a:endParaRPr/>
                  </a:p>
                </c:rich>
              </c:tx>
            </c:dLbl>
            <c:dLbl>
              <c:idx val="1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8</a:t>
                    </a:r>
                    <a:endParaRPr/>
                  </a:p>
                </c:rich>
              </c:tx>
            </c:dLbl>
            <c:dLbl>
              <c:idx val="9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14</a:t>
                    </a:r>
                    <a:endParaRPr/>
                  </a:p>
                </c:rich>
              </c:tx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Лист1!$A$1:$K$1</c:f>
              <c:strCach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6</c:v>
                </c:pt>
                <c:pt idx="3">
                  <c:v>14</c:v>
                </c:pt>
                <c:pt idx="4">
                  <c:v>47</c:v>
                </c:pt>
                <c:pt idx="5">
                  <c:v>41</c:v>
                </c:pt>
                <c:pt idx="6">
                  <c:v>36</c:v>
                </c:pt>
                <c:pt idx="7">
                  <c:v>21</c:v>
                </c:pt>
                <c:pt idx="8">
                  <c:v>15</c:v>
                </c:pt>
                <c:pt idx="9">
                  <c:v>14</c:v>
                </c:pt>
                <c:pt idx="10">
                  <c:v>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46"/>
        <c:overlap val="12"/>
        <c:axId val="310465845"/>
        <c:axId val="310465846"/>
      </c:barChart>
      <c:catAx>
        <c:axId val="310465845"/>
        <c:scaling>
          <c:orientation val="minMax"/>
        </c:scaling>
        <c:delete val="0"/>
        <c:axPos val="b"/>
        <c:majorGridlines>
          <c:spPr bwMode="auto"/>
        </c:majorGridlines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46"/>
        <c:crosses val="autoZero"/>
        <c:auto val="1"/>
        <c:lblAlgn val="ctr"/>
        <c:lblOffset val="100"/>
        <c:noMultiLvlLbl val="0"/>
      </c:catAx>
      <c:valAx>
        <c:axId val="310465846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none"/>
        <c:minorTickMark val="none"/>
        <c:tickLblPos val="nextTo"/>
        <c:crossAx val="310465845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14546" cy="3275937"/>
    </a:xfrm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/>
                <a:cs typeface="Times New Roman"/>
              </a:defRPr>
            </a:pPr>
            <a:r>
              <a:rPr lang="ru-RU" sz="1400" b="1" i="0" u="none" strike="noStrike">
                <a:latin typeface="Times New Roman"/>
                <a:cs typeface="Times New Roman"/>
              </a:rPr>
              <a:t>Структура возростного состава анкетируемых лиц</a:t>
            </a:r>
            <a:endParaRPr lang="ru-RU" sz="14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46400"/>
          <c:y val="0.143240"/>
          <c:w val="0.953590"/>
          <c:h val="0.731930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spPr bwMode="auto"/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>Лист1!$A$2:$A$4</c:f>
              <c:strCache>
                <c:ptCount val="3"/>
                <c:pt idx="0">
                  <c:v xml:space="preserve">18-34 года</c:v>
                </c:pt>
                <c:pt idx="1">
                  <c:v xml:space="preserve">35-54 года</c:v>
                </c:pt>
                <c:pt idx="2">
                  <c:v xml:space="preserve">55 и выше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20</c:v>
                </c:pt>
                <c:pt idx="2">
                  <c:v>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310465847"/>
        <c:axId val="310465848"/>
      </c:bar3DChart>
      <c:catAx>
        <c:axId val="31046584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48"/>
        <c:crosses val="autoZero"/>
        <c:auto val="1"/>
        <c:lblAlgn val="ctr"/>
        <c:lblOffset val="100"/>
        <c:noMultiLvlLbl val="0"/>
      </c:catAx>
      <c:valAx>
        <c:axId val="310465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0465847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019795" cy="2124069"/>
    </a:xfrm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50">
                <a:latin typeface="Times New Roman"/>
                <a:cs typeface="Times New Roman"/>
              </a:defRPr>
            </a:pPr>
            <a:r>
              <a:rPr lang="ru-RU" sz="1250" b="1" i="0">
                <a:latin typeface="Times New Roman"/>
                <a:cs typeface="Times New Roman"/>
              </a:rPr>
              <a:t>Оценка степени доверия к органам местного самоуправления муниципального образования по десятибалльной шкале, где "10" самый высокий уровень доверия, а "1" – самый низкий уровень доверия,          человек</a:t>
            </a:r>
            <a:endParaRPr lang="ru-RU" sz="1250">
              <a:latin typeface="Times New Roman"/>
              <a:cs typeface="Times New Roman"/>
            </a:endParaRPr>
          </a:p>
        </c:rich>
      </c:tx>
      <c:layout>
        <c:manualLayout>
          <c:x val="0.033720"/>
          <c:y val="0.04249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0390"/>
          <c:y val="0.290760"/>
          <c:w val="0.894620"/>
          <c:h val="0.617340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invertIfNegative val="0"/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5</a:t>
                    </a:r>
                    <a:endParaRPr/>
                  </a:p>
                </c:rich>
              </c:tx>
            </c:dLbl>
            <c:dLbl>
              <c:idx val="1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7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4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6</a:t>
                    </a:r>
                    <a:endParaRPr/>
                  </a:p>
                </c:rich>
              </c:tx>
            </c:dLbl>
            <c:dLbl>
              <c:idx val="5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3</a:t>
                    </a:r>
                    <a:endParaRPr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</a:t>
                    </a:r>
                    <a:endParaRPr/>
                  </a:p>
                </c:rich>
              </c:tx>
            </c:dLbl>
            <c:dLbl>
              <c:idx val="7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3</a:t>
                    </a:r>
                    <a:endParaRPr/>
                  </a:p>
                </c:rich>
              </c:tx>
            </c:dLbl>
            <c:dLbl>
              <c:idx val="8"/>
              <c:dLblPos val="outEnd"/>
              <c:layout>
                <c:manualLayout>
                  <c:x val="0.001540"/>
                  <c:y val="-0.0025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2</a:t>
                    </a:r>
                    <a:endParaRPr/>
                  </a:p>
                </c:rich>
              </c:tx>
            </c:dLbl>
            <c:dLbl>
              <c:idx val="9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</c:spPr>
              <c:tx>
                <c:rich>
                  <a:bodyPr/>
                  <a:p>
                    <a:pPr>
                      <a:defRPr/>
                    </a:pPr>
                    <a:r>
                      <a:rPr/>
                      <a:t>1</a:t>
                    </a:r>
                    <a:endParaRPr/>
                  </a:p>
                </c:rich>
              </c:tx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val>
            <c:numRef>
              <c:f>Лист1!$B$2:$B$11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310465849"/>
        <c:axId val="310465850"/>
      </c:barChart>
      <c:catAx>
        <c:axId val="31046584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50"/>
        <c:crosses val="autoZero"/>
        <c:auto val="1"/>
        <c:lblAlgn val="ctr"/>
        <c:lblOffset val="100"/>
        <c:noMultiLvlLbl val="0"/>
      </c:catAx>
      <c:valAx>
        <c:axId val="310465850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crossAx val="310465849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53144" cy="3809994"/>
    </a:xfrm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/>
                <a:cs typeface="Times New Roman"/>
              </a:defRPr>
            </a:pPr>
            <a:r>
              <a:rPr lang="ru-RU" sz="1200" b="1" i="0">
                <a:latin typeface="Times New Roman"/>
                <a:cs typeface="Times New Roman"/>
              </a:rPr>
              <a:t>Оценка коррумпированности органов местного самоуправления по десятибалльной шкале, где "10" самый высокий уровень коррумпированности, "1" – самый низкий уровень коррумпированности, "0" – полное отсутствие коррупции,       человек</a:t>
            </a:r>
            <a:endParaRPr lang="ru-RU" sz="1200">
              <a:latin typeface="Times New Roman"/>
              <a:cs typeface="Times New Roman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0700"/>
          <c:y val="0.340510"/>
          <c:w val="0.903810"/>
          <c:h val="0.540570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</a:t>
                    </a:r>
                    <a:endParaRPr/>
                  </a:p>
                </c:rich>
              </c:tx>
            </c:dLbl>
            <c:dLbl>
              <c:idx val="1"/>
              <c:dLblPos val="outEnd"/>
              <c:layout>
                <c:manualLayout>
                  <c:x val="0.000000"/>
                  <c:y val="-0.0031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7</a:t>
                    </a:r>
                    <a:endParaRPr/>
                  </a:p>
                </c:rich>
              </c:tx>
            </c:dLbl>
            <c:dLbl>
              <c:idx val="2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</a:t>
                    </a:r>
                    <a:endParaRPr/>
                  </a:p>
                </c:rich>
              </c:tx>
            </c:dLbl>
            <c:dLbl>
              <c:idx val="3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</a:t>
                    </a:r>
                    <a:endParaRPr/>
                  </a:p>
                </c:rich>
              </c:tx>
            </c:dLbl>
            <c:dLbl>
              <c:idx val="4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</a:t>
                    </a:r>
                    <a:endParaRPr/>
                  </a:p>
                </c:rich>
              </c:tx>
            </c:dLbl>
            <c:dLbl>
              <c:idx val="5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</a:t>
                    </a:r>
                    <a:endParaRPr/>
                  </a:p>
                </c:rich>
              </c:tx>
            </c:dLbl>
            <c:dLbl>
              <c:idx val="6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</a:t>
                    </a:r>
                    <a:endParaRPr/>
                  </a:p>
                </c:rich>
              </c:tx>
            </c:dLbl>
            <c:dLbl>
              <c:idx val="7"/>
              <c:dLblPos val="outEnd"/>
              <c:layout>
                <c:manualLayout>
                  <c:x val="0.000000"/>
                  <c:y val="0.0635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</a:t>
                    </a:r>
                    <a:endParaRPr lang="en-US"/>
                  </a:p>
                  <a:p>
                    <a:pPr>
                      <a:defRPr/>
                    </a:pPr>
                    <a:endParaRPr/>
                  </a:p>
                </c:rich>
              </c:tx>
            </c:dLbl>
            <c:dLbl>
              <c:idx val="8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</a:t>
                    </a:r>
                    <a:endParaRPr/>
                  </a:p>
                </c:rich>
              </c:tx>
            </c:dLbl>
            <c:dLbl>
              <c:idx val="9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</a:t>
                    </a:r>
                    <a:endParaRPr/>
                  </a:p>
                </c:rich>
              </c:tx>
            </c:dLbl>
            <c:dLbl>
              <c:idx val="10"/>
              <c:dLblPos val="outEnd"/>
              <c:layout/>
              <c:showBubbleSize val="0"/>
              <c:showCatName val="0"/>
              <c:showLegendKey val="0"/>
              <c:showPercent val="0"/>
              <c:showSerName val="0"/>
              <c:showVal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</a:t>
                    </a:r>
                    <a:endParaRPr/>
                  </a:p>
                </c:rich>
              </c:tx>
            </c:dLbl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Лист1!$A$1:$K$1</c:f>
              <c:strCach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  <c:pt idx="0">
                  <c:v>1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  <c:pt idx="7">
                  <c:v>4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axId val="310465851"/>
        <c:axId val="310465852"/>
      </c:barChart>
      <c:catAx>
        <c:axId val="310465851"/>
        <c:scaling>
          <c:orientation val="minMax"/>
        </c:scaling>
        <c:delete val="0"/>
        <c:axPos val="b"/>
        <c:majorGridlines>
          <c:spPr bwMode="auto"/>
        </c:majorGridlines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/>
                <a:cs typeface="Times New Roman"/>
              </a:defRPr>
            </a:pPr>
            <a:endParaRPr lang="ru-RU"/>
          </a:p>
        </c:txPr>
        <c:crossAx val="310465852"/>
        <c:crosses val="autoZero"/>
        <c:auto val="1"/>
        <c:lblAlgn val="ctr"/>
        <c:lblOffset val="100"/>
        <c:noMultiLvlLbl val="0"/>
      </c:catAx>
      <c:valAx>
        <c:axId val="310465852"/>
        <c:scaling>
          <c:orientation val="minMax"/>
        </c:scaling>
        <c:delete val="1"/>
        <c:axPos val="l"/>
        <c:majorGridlines>
          <c:spPr bwMode="auto"/>
        </c:majorGridlines>
        <c:numFmt formatCode="General" sourceLinked="1"/>
        <c:majorTickMark val="none"/>
        <c:minorTickMark val="none"/>
        <c:tickLblPos val="nextTo"/>
        <c:crossAx val="310465851"/>
        <c:crosses val="autoZero"/>
        <c:crossBetween val="between"/>
      </c:valAx>
    </c:plotArea>
    <c:plotVisOnly val="1"/>
    <c:dispBlanksAs val="gap"/>
    <c:showDLblsOverMax val="0"/>
  </c:chart>
  <c:spPr bwMode="auto">
    <a:xfrm>
      <a:off x="0" y="0"/>
      <a:ext cx="6115043" cy="2997195"/>
    </a:xfrm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9EE0-A8DF-4B40-A004-6F21E062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golovatskiy</cp:lastModifiedBy>
  <cp:revision>52</cp:revision>
  <dcterms:created xsi:type="dcterms:W3CDTF">2019-02-08T06:44:00Z</dcterms:created>
  <dcterms:modified xsi:type="dcterms:W3CDTF">2026-05-29T13:17:08Z</dcterms:modified>
</cp:coreProperties>
</file>