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Сводный отчет</w:t>
      </w:r>
    </w:p>
    <w:p w14:paraId="06000000">
      <w:pPr>
        <w:widowControl w:val="1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результатах проведения оценки регулирующего воздействия</w:t>
      </w:r>
    </w:p>
    <w:p w14:paraId="07000000">
      <w:pPr>
        <w:widowControl w:val="1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проектов муниципальных правовых актов </w:t>
      </w:r>
    </w:p>
    <w:p w14:paraId="08000000">
      <w:pPr>
        <w:widowControl w:val="1"/>
        <w:ind/>
        <w:jc w:val="center"/>
        <w:rPr>
          <w:rFonts w:ascii="Times New Roman" w:hAnsi="Times New Roman"/>
        </w:rPr>
      </w:pPr>
    </w:p>
    <w:p w14:paraId="09000000">
      <w:pPr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 Общая информация</w:t>
      </w:r>
    </w:p>
    <w:p w14:paraId="0A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Регулирующий орган: </w:t>
      </w:r>
      <w:r>
        <w:rPr>
          <w:rFonts w:ascii="Times New Roman" w:hAnsi="Times New Roman"/>
          <w:sz w:val="28"/>
        </w:rPr>
        <w:t>отдел архитектуры администрации Ленинградского муниципального округа.</w:t>
      </w:r>
    </w:p>
    <w:p w14:paraId="0B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1.2. Вид и наименование проекта муниципального правового акта: </w:t>
      </w:r>
      <w:r>
        <w:rPr>
          <w:rFonts w:ascii="Times New Roman" w:hAnsi="Times New Roman"/>
          <w:sz w:val="28"/>
        </w:rPr>
        <w:t>проект постановления администрации муниципального образования Ленинградский муниципальный округ Краснодарского края «О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 утверждении Порядка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</w:t>
      </w:r>
      <w:r>
        <w:rPr>
          <w:rFonts w:ascii="Times New Roman" w:hAnsi="Times New Roman"/>
          <w:sz w:val="28"/>
        </w:rPr>
        <w:t>».</w:t>
      </w:r>
    </w:p>
    <w:p w14:paraId="0C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Предполагаемая дата вступления в силу муниципального правового акта: октябрь 2026 года со дня его официального опубликования.</w:t>
      </w:r>
    </w:p>
    <w:p w14:paraId="0D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26282F"/>
        </w:rPr>
        <w:t>1.4.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</w:rPr>
        <w:t>Краткое описание проблемы, на решение которой направлено предлагаемое правовое регулирование</w:t>
      </w:r>
      <w:r>
        <w:rPr>
          <w:rFonts w:ascii="Times New Roman" w:hAnsi="Times New Roman"/>
          <w:b w:val="0"/>
          <w:sz w:val="28"/>
        </w:rPr>
        <w:t xml:space="preserve">: </w:t>
      </w:r>
      <w:r>
        <w:rPr>
          <w:b w:val="0"/>
          <w:sz w:val="28"/>
        </w:rPr>
        <w:t>н</w:t>
      </w:r>
      <w:r>
        <w:rPr>
          <w:rFonts w:ascii="Times New Roman" w:hAnsi="Times New Roman"/>
          <w:b w:val="0"/>
          <w:sz w:val="28"/>
        </w:rPr>
        <w:t>а территории муниципального образования</w:t>
      </w:r>
      <w:r>
        <w:rPr>
          <w:b w:val="0"/>
          <w:sz w:val="28"/>
        </w:rPr>
        <w:t xml:space="preserve"> Ленинградский муниципальный округ Краснодарского края </w:t>
      </w:r>
      <w:r>
        <w:rPr>
          <w:rFonts w:ascii="Times New Roman" w:hAnsi="Times New Roman"/>
          <w:b w:val="0"/>
          <w:sz w:val="28"/>
        </w:rPr>
        <w:t>выявлены факты установки и (или) эксплуатации рекламных конструкций без разрешения на установку и эксплуатацию, выданного уполномоченным органом местного самоуправления.</w:t>
      </w:r>
    </w:p>
    <w:p w14:paraId="0E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Это приводит к следующим негативным последствиям:</w:t>
      </w:r>
    </w:p>
    <w:p w14:paraId="0F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●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нарушение требований Федерального закона от 13.03.2006 </w:t>
      </w:r>
      <w:r>
        <w:rPr>
          <w:b w:val="0"/>
          <w:sz w:val="28"/>
        </w:rPr>
        <w:t xml:space="preserve">г. </w:t>
      </w:r>
      <w:r>
        <w:rPr>
          <w:rFonts w:ascii="Times New Roman" w:hAnsi="Times New Roman"/>
          <w:b w:val="0"/>
          <w:sz w:val="28"/>
        </w:rPr>
        <w:t>№ 38-ФЗ «О рекламе» в части обязательности получения разрешения;</w:t>
      </w:r>
    </w:p>
    <w:p w14:paraId="10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●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нарушение архитектурного облика и благоустройства территории муниципального образования;</w:t>
      </w:r>
    </w:p>
    <w:p w14:paraId="11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●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создание угрозы безопасности дорожного движения, жизни и здоровью граждан (при размещении конструкций в недопустимых местах);</w:t>
      </w:r>
    </w:p>
    <w:p w14:paraId="12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●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недополучение доходов местного бюджета от платы за установку и эксплуатацию рекламных конструкций по договорам на установку и эксплуатацию;</w:t>
      </w:r>
    </w:p>
    <w:p w14:paraId="13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●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неравные конкурентные условия для добросовестных рекламораспространителей, получивших разрешения в установленном порядке.</w:t>
      </w:r>
    </w:p>
    <w:p w14:paraId="14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Краткое описание целей предлагаемого правового регулирования: </w:t>
      </w:r>
    </w:p>
    <w:p w14:paraId="15000000">
      <w:pPr>
        <w:widowControl w:val="1"/>
        <w:ind w:firstLine="709"/>
        <w:jc w:val="both"/>
        <w:rPr>
          <w:rFonts w:ascii="Times New Roman" w:hAnsi="Times New Roman"/>
        </w:rPr>
      </w:pPr>
      <w:r>
        <w:t>1. П</w:t>
      </w:r>
      <w:r>
        <w:rPr>
          <w:rFonts w:ascii="Times New Roman" w:hAnsi="Times New Roman"/>
        </w:rPr>
        <w:t xml:space="preserve">риведение муниципального правового регулирования в соответствие с требованиями Федерального закона от 13.03.2006 </w:t>
      </w:r>
      <w:r>
        <w:t>г</w:t>
      </w:r>
      <w:r>
        <w:t xml:space="preserve">. </w:t>
      </w:r>
      <w:r>
        <w:rPr>
          <w:rFonts w:ascii="Times New Roman" w:hAnsi="Times New Roman"/>
        </w:rPr>
        <w:t>№ 38-ФЗ «О рекламе» (в части полномочий органов местного самоуправления по демонтажу незаконных рекламных конструкций).</w:t>
      </w:r>
    </w:p>
    <w:p w14:paraId="16000000">
      <w:pPr>
        <w:widowControl w:val="1"/>
        <w:ind w:firstLine="709"/>
        <w:jc w:val="both"/>
        <w:rPr>
          <w:rFonts w:ascii="Times New Roman" w:hAnsi="Times New Roman"/>
        </w:rPr>
      </w:pPr>
      <w:r>
        <w:t xml:space="preserve">2. </w:t>
      </w:r>
      <w:r>
        <w:rPr>
          <w:rFonts w:ascii="Times New Roman" w:hAnsi="Times New Roman"/>
        </w:rPr>
        <w:t>Установление прозрачного и единообразного порядка выявления, демонтажа, хранения, утилизации и возврата владельцам рекламных конструкций, установленных и (или) эксплуатируемых без разрешения.</w:t>
      </w:r>
    </w:p>
    <w:p w14:paraId="17000000">
      <w:pPr>
        <w:widowControl w:val="1"/>
        <w:ind w:firstLine="709"/>
        <w:jc w:val="both"/>
        <w:rPr>
          <w:rFonts w:ascii="Times New Roman" w:hAnsi="Times New Roman"/>
        </w:rPr>
      </w:pPr>
      <w:r>
        <w:t xml:space="preserve">3. </w:t>
      </w:r>
      <w:r>
        <w:rPr>
          <w:rFonts w:ascii="Times New Roman" w:hAnsi="Times New Roman"/>
        </w:rPr>
        <w:t>Обеспечение безопасности граждан и улучшение архитектурного облика территории муниципального образования.</w:t>
      </w:r>
    </w:p>
    <w:p w14:paraId="18000000">
      <w:pPr>
        <w:widowControl w:val="1"/>
        <w:ind w:firstLine="709"/>
        <w:jc w:val="both"/>
        <w:rPr>
          <w:rFonts w:ascii="Times New Roman" w:hAnsi="Times New Roman"/>
        </w:rPr>
      </w:pPr>
      <w:r>
        <w:t xml:space="preserve">4. </w:t>
      </w:r>
      <w:r>
        <w:rPr>
          <w:rFonts w:ascii="Times New Roman" w:hAnsi="Times New Roman"/>
        </w:rPr>
        <w:t>Создание равных конкурентных условий для субъектов предпринимательской деятельности, осуществляющих размещение рекламы.</w:t>
      </w:r>
    </w:p>
    <w:p w14:paraId="19000000">
      <w:pPr>
        <w:widowControl w:val="1"/>
        <w:ind w:firstLine="709"/>
        <w:jc w:val="both"/>
        <w:rPr>
          <w:rFonts w:ascii="Times New Roman" w:hAnsi="Times New Roman"/>
        </w:rPr>
      </w:pPr>
      <w:r>
        <w:t xml:space="preserve">5. </w:t>
      </w:r>
      <w:r>
        <w:rPr>
          <w:rFonts w:ascii="Times New Roman" w:hAnsi="Times New Roman"/>
        </w:rPr>
        <w:t>Увеличение доходов местного бюджета за счет легализации размещения рекламных конструкций.</w:t>
      </w:r>
    </w:p>
    <w:p w14:paraId="1A000000">
      <w:pPr>
        <w:widowControl w:val="1"/>
        <w:ind w:firstLine="709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1.6. Краткое описание содержания предлагаемого правового регулирования:</w:t>
      </w:r>
      <w:r>
        <w:rPr>
          <w:rFonts w:ascii="Times New Roman" w:hAnsi="Times New Roman"/>
          <w:b w:val="0"/>
        </w:rPr>
        <w:t xml:space="preserve"> </w:t>
      </w:r>
      <w:r>
        <w:rPr>
          <w:b w:val="0"/>
        </w:rPr>
        <w:t>п</w:t>
      </w:r>
      <w:r>
        <w:rPr>
          <w:rFonts w:ascii="Times New Roman" w:hAnsi="Times New Roman"/>
          <w:b w:val="0"/>
        </w:rPr>
        <w:t xml:space="preserve">роектом муниципального правового акта предлагается утвердить Порядок обращения с рекламными конструкциями, установленными и (или) эксплуатируемыми на территории муниципального образования </w:t>
      </w:r>
      <w:r>
        <w:rPr>
          <w:rFonts w:ascii="Times New Roman" w:hAnsi="Times New Roman"/>
          <w:sz w:val="28"/>
        </w:rPr>
        <w:t>Ленинградский муниципальный округ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</w:rPr>
        <w:t>без разрешения на установку и эксплуатацию рекламной конструкции, который включает:</w:t>
      </w:r>
    </w:p>
    <w:p w14:paraId="1B000000">
      <w:pPr>
        <w:widowControl w:val="1"/>
        <w:ind w:firstLine="709"/>
        <w:jc w:val="both"/>
        <w:rPr>
          <w:rFonts w:ascii="Times New Roman" w:hAnsi="Times New Roman"/>
          <w:b w:val="0"/>
        </w:rPr>
      </w:pPr>
      <w:r>
        <w:rPr>
          <w:b w:val="0"/>
        </w:rPr>
        <w:t xml:space="preserve">1. </w:t>
      </w:r>
      <w:r>
        <w:rPr>
          <w:rFonts w:ascii="Times New Roman" w:hAnsi="Times New Roman"/>
          <w:b w:val="0"/>
        </w:rPr>
        <w:t>Порядок выявления рекламных конструкций, установленных и (или) эксплуатируемых без разрешения (путем проведения плановых и внеплановых обследований территории).</w:t>
      </w:r>
    </w:p>
    <w:p w14:paraId="1C000000">
      <w:pPr>
        <w:widowControl w:val="1"/>
        <w:ind w:firstLine="709"/>
        <w:jc w:val="both"/>
        <w:rPr>
          <w:rFonts w:ascii="Times New Roman" w:hAnsi="Times New Roman"/>
          <w:b w:val="0"/>
        </w:rPr>
      </w:pPr>
      <w:r>
        <w:rPr>
          <w:b w:val="0"/>
        </w:rPr>
        <w:t xml:space="preserve">2. </w:t>
      </w:r>
      <w:r>
        <w:rPr>
          <w:rFonts w:ascii="Times New Roman" w:hAnsi="Times New Roman"/>
          <w:b w:val="0"/>
        </w:rPr>
        <w:t>Порядок оформления и направления предписания владельцу рекламной конструкции о демонтаже в установленный срок.</w:t>
      </w:r>
    </w:p>
    <w:p w14:paraId="1D000000">
      <w:pPr>
        <w:widowControl w:val="1"/>
        <w:ind w:firstLine="709"/>
        <w:jc w:val="both"/>
        <w:rPr>
          <w:rFonts w:ascii="Times New Roman" w:hAnsi="Times New Roman"/>
          <w:b w:val="0"/>
        </w:rPr>
      </w:pPr>
      <w:r>
        <w:rPr>
          <w:b w:val="0"/>
        </w:rPr>
        <w:t xml:space="preserve">3. </w:t>
      </w:r>
      <w:r>
        <w:rPr>
          <w:rFonts w:ascii="Times New Roman" w:hAnsi="Times New Roman"/>
          <w:b w:val="0"/>
        </w:rPr>
        <w:t>Порядок демонтажа рекламной конструкции в случае неисполнения предписания (силами уполномоченной организации за счет средств местного бюджета с последующим возмещением расходов владельцем).</w:t>
      </w:r>
    </w:p>
    <w:p w14:paraId="1E000000">
      <w:pPr>
        <w:widowControl w:val="1"/>
        <w:ind w:firstLine="709"/>
        <w:jc w:val="both"/>
        <w:rPr>
          <w:rFonts w:ascii="Times New Roman" w:hAnsi="Times New Roman"/>
          <w:b w:val="0"/>
        </w:rPr>
      </w:pPr>
      <w:r>
        <w:rPr>
          <w:b w:val="0"/>
        </w:rPr>
        <w:t xml:space="preserve">4. </w:t>
      </w:r>
      <w:r>
        <w:rPr>
          <w:rFonts w:ascii="Times New Roman" w:hAnsi="Times New Roman"/>
          <w:b w:val="0"/>
        </w:rPr>
        <w:t>Порядок хранения демонтированных рекламных конструкций (сроки, условия, ответственный орган).</w:t>
      </w:r>
    </w:p>
    <w:p w14:paraId="1F000000">
      <w:pPr>
        <w:widowControl w:val="1"/>
        <w:ind w:firstLine="709"/>
        <w:jc w:val="both"/>
        <w:rPr>
          <w:rFonts w:ascii="Times New Roman" w:hAnsi="Times New Roman"/>
          <w:b w:val="0"/>
        </w:rPr>
      </w:pPr>
      <w:r>
        <w:rPr>
          <w:b w:val="0"/>
        </w:rPr>
        <w:t xml:space="preserve">5. </w:t>
      </w:r>
      <w:r>
        <w:rPr>
          <w:rFonts w:ascii="Times New Roman" w:hAnsi="Times New Roman"/>
          <w:b w:val="0"/>
        </w:rPr>
        <w:t>Порядок возврата рекламной конструкции владельцу (при подтверждении прав и возмещении расходов на демонтаж и хранение).</w:t>
      </w:r>
    </w:p>
    <w:p w14:paraId="20000000">
      <w:pPr>
        <w:widowControl w:val="1"/>
        <w:ind w:firstLine="709"/>
        <w:jc w:val="both"/>
        <w:rPr>
          <w:rFonts w:ascii="Times New Roman" w:hAnsi="Times New Roman"/>
          <w:b w:val="0"/>
        </w:rPr>
      </w:pPr>
      <w:r>
        <w:rPr>
          <w:b w:val="0"/>
        </w:rPr>
        <w:t xml:space="preserve">6. </w:t>
      </w:r>
      <w:r>
        <w:rPr>
          <w:rFonts w:ascii="Times New Roman" w:hAnsi="Times New Roman"/>
          <w:b w:val="0"/>
        </w:rPr>
        <w:t>Порядок утилизации рекламной конструкции в случае невостребования владельцем в установленный срок.</w:t>
      </w:r>
    </w:p>
    <w:p w14:paraId="21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1.6.1. Степень регулирующего воздействия: </w:t>
      </w:r>
      <w:r>
        <w:t>средняя</w:t>
      </w:r>
      <w:r>
        <w:rPr>
          <w:rFonts w:ascii="Times New Roman" w:hAnsi="Times New Roman"/>
        </w:rPr>
        <w:t>.</w:t>
      </w:r>
    </w:p>
    <w:p w14:paraId="22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Обоснование степени регулирующего воздействия: </w:t>
      </w:r>
    </w:p>
    <w:p w14:paraId="23000000">
      <w:pPr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 затрагивает сферу предпринимательской деятельности</w:t>
      </w:r>
      <w:r>
        <w:rPr>
          <w:rFonts w:ascii="Times New Roman" w:hAnsi="Times New Roman"/>
          <w:b w:val="0"/>
          <w:sz w:val="28"/>
        </w:rPr>
        <w:t> — размещение и эксплуатацию рекламных конструкций, что является коммерческой деятельностью, направленной на извлечение прибыли.</w:t>
      </w:r>
    </w:p>
    <w:p w14:paraId="24000000">
      <w:pPr>
        <w:widowControl w:val="1"/>
        <w:numPr>
          <w:ilvl w:val="0"/>
          <w:numId w:val="1"/>
        </w:numPr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 устанавливает обязанности для субъектов предпринимательской деятельности, а именно:</w:t>
      </w:r>
    </w:p>
    <w:p w14:paraId="25000000">
      <w:pPr>
        <w:widowControl w:val="1"/>
        <w:numPr>
          <w:ilvl w:val="0"/>
          <w:numId w:val="0"/>
        </w:numPr>
        <w:ind w:firstLine="632" w:left="76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●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обязанность владельца рекламной конструкции осуществить демонтаж незаконно установленной конструкции в установленный срок;</w:t>
      </w:r>
    </w:p>
    <w:p w14:paraId="26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●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обязанность возместить расходы местного бюджета на принудительный демонтаж и хранение конструкции;</w:t>
      </w:r>
    </w:p>
    <w:p w14:paraId="27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●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обязанность получить разрешение на установку и эксплуатацию рекламной конструкции в установленном порядке.</w:t>
      </w:r>
    </w:p>
    <w:p w14:paraId="28000000">
      <w:pPr>
        <w:widowControl w:val="1"/>
        <w:numPr>
          <w:ilvl w:val="0"/>
          <w:numId w:val="1"/>
        </w:numPr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Проект не вводит новых запретов и ограничений, а лишь конкретизирует и детализирует процедуру реализации уже существующих требований Федерального закона от 13.03.2006 </w:t>
      </w:r>
      <w:r>
        <w:rPr>
          <w:b w:val="0"/>
          <w:sz w:val="28"/>
        </w:rPr>
        <w:t xml:space="preserve">г. </w:t>
      </w:r>
      <w:r>
        <w:rPr>
          <w:rFonts w:ascii="Times New Roman" w:hAnsi="Times New Roman"/>
          <w:b w:val="0"/>
          <w:sz w:val="28"/>
        </w:rPr>
        <w:t>№ 38-ФЗ «О рекламе».</w:t>
      </w:r>
    </w:p>
    <w:p w14:paraId="29000000">
      <w:pPr>
        <w:widowControl w:val="1"/>
        <w:numPr>
          <w:ilvl w:val="0"/>
          <w:numId w:val="1"/>
        </w:numPr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 не создает избыточных административных барьеров для добросовестных предпринимателей, поскольку обязанность демонтажа возникает исключительно в случае нарушения требований законодательства о рекламе.</w:t>
      </w:r>
    </w:p>
    <w:p w14:paraId="2A000000">
      <w:pPr>
        <w:widowControl w:val="1"/>
        <w:numPr>
          <w:ilvl w:val="0"/>
          <w:numId w:val="1"/>
        </w:numPr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 оказывает положительное влияние на конкуренцию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— устранение незаконно установленных рекламных конструкций создает равные условия для всех участников рынка рекламы и исключает недобросовестную конкуренцию.</w:t>
      </w:r>
    </w:p>
    <w:p w14:paraId="2B000000">
      <w:pPr>
        <w:widowControl w:val="1"/>
        <w:numPr>
          <w:ilvl w:val="0"/>
          <w:numId w:val="1"/>
        </w:numPr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 не требует дополнительных расходов бюджета в значительном объеме — расходы на принудительный демонтаж возмещаются владельцем конструкции, а невостребованные конструкции подлежат утилизации.</w:t>
      </w:r>
    </w:p>
    <w:p w14:paraId="2C000000">
      <w:pPr>
        <w:widowControl w:val="1"/>
        <w:ind w:firstLine="709"/>
        <w:jc w:val="both"/>
        <w:rPr>
          <w:rFonts w:ascii="Times New Roman" w:hAnsi="Times New Roman"/>
          <w:shd w:fill="FFD821" w:val="clear"/>
        </w:rPr>
      </w:pPr>
      <w:r>
        <w:rPr>
          <w:rFonts w:ascii="Times New Roman" w:hAnsi="Times New Roman"/>
        </w:rPr>
        <w:t xml:space="preserve">1.6.2. В проекте </w:t>
      </w: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Ленинградский муниципальный округ Краснодарского края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«Об утверждении Порядка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конструкции»</w:t>
      </w:r>
      <w:r>
        <w:rPr>
          <w:rFonts w:ascii="Times New Roman" w:hAnsi="Times New Roman"/>
        </w:rPr>
        <w:t xml:space="preserve"> отсутствуют обязательные требования,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экспертизы.</w:t>
      </w:r>
    </w:p>
    <w:p w14:paraId="2D000000">
      <w:pPr>
        <w:widowControl w:val="1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1.7. Контактная информация исполнителя в регулирующем органе</w:t>
      </w:r>
      <w:r>
        <w:rPr>
          <w:rFonts w:ascii="Times New Roman" w:hAnsi="Times New Roman"/>
          <w:sz w:val="24"/>
        </w:rPr>
        <w:t>:</w:t>
      </w:r>
    </w:p>
    <w:p w14:paraId="2E000000">
      <w:pPr>
        <w:widowControl w:val="0"/>
        <w:ind w:firstLine="691" w:lef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</w:rPr>
        <w:t>Ф.И.О. Ч</w:t>
      </w:r>
      <w:r>
        <w:rPr>
          <w:color w:val="000000"/>
          <w:sz w:val="28"/>
        </w:rPr>
        <w:t>уркин</w:t>
      </w:r>
      <w:r>
        <w:rPr>
          <w:color w:val="000000"/>
          <w:sz w:val="28"/>
        </w:rPr>
        <w:t xml:space="preserve"> Александр Анатольевич</w:t>
      </w:r>
      <w:r>
        <w:rPr>
          <w:rFonts w:ascii="Times New Roman" w:hAnsi="Times New Roman"/>
          <w:color w:val="000000"/>
          <w:sz w:val="28"/>
        </w:rPr>
        <w:t>.</w:t>
      </w:r>
    </w:p>
    <w:p w14:paraId="2F000000">
      <w:pPr>
        <w:widowControl w:val="0"/>
        <w:ind w:firstLine="691"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Должность: </w:t>
      </w:r>
      <w:r>
        <w:rPr>
          <w:color w:val="000000"/>
          <w:sz w:val="28"/>
          <w:highlight w:val="white"/>
        </w:rPr>
        <w:t>начальник</w:t>
      </w:r>
      <w:r>
        <w:rPr>
          <w:rFonts w:ascii="Times New Roman" w:hAnsi="Times New Roman"/>
          <w:color w:val="000000"/>
          <w:sz w:val="28"/>
          <w:highlight w:val="white"/>
        </w:rPr>
        <w:t xml:space="preserve"> отдела архитектуры</w:t>
      </w:r>
      <w:r>
        <w:rPr>
          <w:color w:val="000000"/>
          <w:sz w:val="28"/>
          <w:highlight w:val="white"/>
        </w:rPr>
        <w:t>, главный архитектор</w:t>
      </w:r>
      <w:r>
        <w:rPr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администрации Ленинградского </w:t>
      </w:r>
      <w:r>
        <w:rPr>
          <w:rFonts w:ascii="Times New Roman" w:hAnsi="Times New Roman"/>
          <w:color w:val="000000"/>
          <w:sz w:val="28"/>
          <w:highlight w:val="white"/>
        </w:rPr>
        <w:t>муниципального округа.</w:t>
      </w:r>
    </w:p>
    <w:p w14:paraId="30000000">
      <w:pPr>
        <w:widowControl w:val="0"/>
        <w:ind w:firstLine="691"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highlight w:val="white"/>
        </w:rPr>
        <w:t>Телефон: 8-861-45-3-78-88.</w:t>
      </w:r>
    </w:p>
    <w:p w14:paraId="31000000">
      <w:pPr>
        <w:widowControl w:val="0"/>
        <w:ind w:firstLine="691"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highlight w:val="white"/>
        </w:rPr>
        <w:t>Адрес электронной почты: lenininform@yandex.ru.</w:t>
      </w:r>
    </w:p>
    <w:p w14:paraId="32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Описание проблемы, на решение которой направлено предлагаемое правовое регулирование: </w:t>
      </w:r>
      <w:r>
        <w:t>п</w:t>
      </w:r>
      <w:r>
        <w:rPr>
          <w:rFonts w:ascii="Times New Roman" w:hAnsi="Times New Roman"/>
        </w:rPr>
        <w:t>роект муниципального правового акта</w:t>
      </w:r>
      <w:r>
        <w:rPr>
          <w:rFonts w:ascii="Times New Roman" w:hAnsi="Times New Roman"/>
        </w:rPr>
        <w:t> направлен на решение значимой проблемы — приведение порядка обращения с незаконными рекламными конструкциями в соответствие с требованиями федерального законодательства.</w:t>
      </w:r>
    </w:p>
    <w:p w14:paraId="33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Формулировка проблемы: </w:t>
      </w:r>
      <w:r>
        <w:t>н</w:t>
      </w:r>
      <w:r>
        <w:rPr>
          <w:rFonts w:ascii="Times New Roman" w:hAnsi="Times New Roman"/>
        </w:rPr>
        <w:t>а территории муниципального образования Ленинградский муниципальный округ Краснодарского края выявлены факты установки и (или) эксплуатации рекламных конструкций</w:t>
      </w:r>
      <w:r>
        <w:t xml:space="preserve"> </w:t>
      </w:r>
      <w:r>
        <w:rPr>
          <w:rFonts w:ascii="Times New Roman" w:hAnsi="Times New Roman"/>
        </w:rPr>
        <w:t>без разрешения на установку и эксплуатацию, выданного уполномоченным органом местного самоуправления.</w:t>
      </w:r>
    </w:p>
    <w:p w14:paraId="34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Действующее федеральное законодательство (Федеральный закон от 13.03.2006 </w:t>
      </w:r>
      <w:r>
        <w:t xml:space="preserve">г. </w:t>
      </w:r>
      <w:r>
        <w:rPr>
          <w:rFonts w:ascii="Times New Roman" w:hAnsi="Times New Roman"/>
        </w:rPr>
        <w:t>№ 38-ФЗ «О рекламе») наделяет органы местного самоуправления полномочиями по выявлению и демонтажу рекламных конструкций, установленных и (или) эксплуатируемых без разрешения. Однако на муниципальном уровне</w:t>
      </w:r>
      <w:r>
        <w:t xml:space="preserve"> </w:t>
      </w:r>
      <w:r>
        <w:rPr>
          <w:rFonts w:ascii="Times New Roman" w:hAnsi="Times New Roman"/>
        </w:rPr>
        <w:t>отсутствует детализированный порядок, регулирующий процедуру выявления, демонтажа, хранения, утилизации и возврата владельцам таких конструкций.</w:t>
      </w:r>
    </w:p>
    <w:p w14:paraId="35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Это создает правовую неопределенность как для органов местного самоуправления при осуществлении контрольных полномочий, так и для субъектов предпринимательской деятельности, осуществляющих размещение рекламы.</w:t>
      </w:r>
    </w:p>
    <w:p w14:paraId="36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>2.2. Информация о возникновении, выявлении проблемы и мерах, принятых ранее для ее решения, достигнутых результатах и затр</w:t>
      </w:r>
      <w:r>
        <w:rPr>
          <w:rFonts w:ascii="Times New Roman" w:hAnsi="Times New Roman"/>
        </w:rPr>
        <w:t xml:space="preserve">аченных ресурсах: </w:t>
      </w:r>
      <w:r>
        <w:rPr>
          <w:rFonts w:ascii="Times New Roman" w:hAnsi="Times New Roman"/>
        </w:rPr>
        <w:t>Федеральный закон № 38-ФЗ устанавливает общие требования к порядку выявления и демонтажа незаконных рекламных конструкций, однако конкретные процедуры (сроки, формы документов, порядок хранения и возврата конструкций) определяются органами местного самоуправления самостоятельно. Отсутствие такого порядка на территории Ленинградского муниципального округа приводит к следующим негативным последствиям:</w:t>
      </w:r>
    </w:p>
    <w:p w14:paraId="37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●</w:t>
      </w:r>
      <w:r>
        <w:t xml:space="preserve"> </w:t>
      </w:r>
      <w:r>
        <w:rPr>
          <w:rFonts w:ascii="Times New Roman" w:hAnsi="Times New Roman"/>
        </w:rPr>
        <w:t>Для органов местного самоуправления: невозможность эффективного осуществления контрольных полномочий в сфере наружной рекламы, отсутствие единообразной правоприменительной практики, риск оспаривания действий (бездействия) в судебном порядке.</w:t>
      </w:r>
    </w:p>
    <w:p w14:paraId="38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●</w:t>
      </w:r>
      <w:r>
        <w:t xml:space="preserve"> </w:t>
      </w:r>
      <w:r>
        <w:rPr>
          <w:rFonts w:ascii="Times New Roman" w:hAnsi="Times New Roman"/>
        </w:rPr>
        <w:t>Для субъектов предпринимательской деятельности: неопределенность в части последствий выявления незаконно установленных конструкций, отсутствие прозрачного механизма возврата демонтированного имущества.</w:t>
      </w:r>
    </w:p>
    <w:p w14:paraId="39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>2.3. Субъекты общественных отношений, заинтересованные в устранении проблемы, их количественная оценка:</w:t>
      </w:r>
    </w:p>
    <w:p w14:paraId="3A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●</w:t>
      </w:r>
      <w:r>
        <w:t xml:space="preserve"> </w:t>
      </w:r>
      <w:r>
        <w:rPr>
          <w:rFonts w:ascii="Times New Roman" w:hAnsi="Times New Roman"/>
        </w:rPr>
        <w:t>юридические лица и индивидуальные предприниматели, осуществляющие деятельность по распространению рекламы;</w:t>
      </w:r>
    </w:p>
    <w:p w14:paraId="3B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●</w:t>
      </w:r>
      <w:r>
        <w:t xml:space="preserve"> </w:t>
      </w:r>
      <w:r>
        <w:rPr>
          <w:rFonts w:ascii="Times New Roman" w:hAnsi="Times New Roman"/>
        </w:rPr>
        <w:t>собственники (владельцы) рекламных конструкций;</w:t>
      </w:r>
    </w:p>
    <w:p w14:paraId="3C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●</w:t>
      </w:r>
      <w:r>
        <w:t xml:space="preserve"> </w:t>
      </w:r>
      <w:r>
        <w:rPr>
          <w:rFonts w:ascii="Times New Roman" w:hAnsi="Times New Roman"/>
        </w:rPr>
        <w:t>операторы рекламных конструкций.</w:t>
      </w:r>
    </w:p>
    <w:p w14:paraId="3D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2.4. Характеристика негативных эффектов, возникающих в связи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с наличием проблемы, их количественная оценка,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(ущерба): </w:t>
      </w:r>
      <w:r>
        <w:t>п</w:t>
      </w:r>
      <w:r>
        <w:rPr>
          <w:rFonts w:ascii="Times New Roman" w:hAnsi="Times New Roman"/>
        </w:rPr>
        <w:t>роблема заключается в</w:t>
      </w:r>
      <w:r>
        <w:rPr>
          <w:rFonts w:ascii="Times New Roman" w:hAnsi="Times New Roman"/>
        </w:rPr>
        <w:t> отсутствии на муниципальном уровне системного правового регулирования порядка обращения с рекламными конструкциями, установленными и (или) эксплуатируемыми без разрешения. Это создает правовую неопределенность для органов местного самоуправления и субъектов предпринимательской деятельности, способствует сохранению нарушений в сфере наружной рекламы, влечет недополучение доходов бюджета и ухудшение городской среды.</w:t>
      </w:r>
    </w:p>
    <w:p w14:paraId="3E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2.5. Причины возникновения проблемы и факторы, поддерживающие ее существование: </w:t>
      </w:r>
      <w:r>
        <w:rPr>
          <w:rFonts w:ascii="Times New Roman" w:hAnsi="Times New Roman"/>
        </w:rPr>
        <w:t>Отсутствие детализированного муниципального порядка. Федеральный закон № 38-ФЗ «О рекламе» наделяет органы местного самоуправления полномочиями по демонтажу незаконных рекламных конструкций, однако конкретные процедуры (сроки, формы документов, порядок хранения и возврата конструкций) должны определяться на муниципальном уровне. До настоящего времени такой порядок на территории Ленинградского муниципального округа не утверждён, что создаёт правовую неопределённость как для органов власти, так и для предпринимателей.</w:t>
      </w:r>
    </w:p>
    <w:p w14:paraId="3F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Несовершенство правоприменительной практики. Отсутствие единого механизма выявления, фиксации и демонтажа незаконных конструкций приводит к тому, что нарушения не устраняются системно, а меры реагирования носят эпизодический характер.</w:t>
      </w:r>
    </w:p>
    <w:p w14:paraId="40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Ленинградского муниципального округа: </w:t>
      </w:r>
      <w:r>
        <w:rPr>
          <w:sz w:val="28"/>
        </w:rPr>
        <w:t>с</w:t>
      </w:r>
      <w:r>
        <w:rPr>
          <w:rFonts w:ascii="Times New Roman" w:hAnsi="Times New Roman"/>
          <w:sz w:val="28"/>
        </w:rPr>
        <w:t>амостоятельное решение проблемы участниками отношений</w:t>
      </w:r>
      <w:r>
        <w:rPr>
          <w:rFonts w:ascii="Times New Roman" w:hAnsi="Times New Roman"/>
          <w:sz w:val="28"/>
        </w:rPr>
        <w:t> объективно невозможно, поскольку оно требует: наличия властных полномочий, которыми они не обладают; нормативного закрепления процедур;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обеспечения принудительного исполнения требований законодательства. Вмешательство органов местного самоуправления Ленинградского муниципального округа является необходимым и достаточным условием устранения проблемы.</w:t>
      </w:r>
    </w:p>
    <w:p w14:paraId="41000000">
      <w:pPr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2.7. Опыт решения аналогичных проблем в других субъектах Российской Федерации, муниципальных образованиях Краснодарского края иностранных государствах: в других муниципальных образованиях Краснодарского края данная проблема решается аналогичным образом.</w:t>
      </w:r>
    </w:p>
    <w:p w14:paraId="42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 Источники данных: </w:t>
      </w:r>
      <w:r>
        <w:rPr>
          <w:sz w:val="28"/>
        </w:rPr>
        <w:t>Информационно-правовая система Гарант, сеть «Интернет».</w:t>
      </w:r>
    </w:p>
    <w:p w14:paraId="43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2.9. Иная информация о проблеме: </w:t>
      </w:r>
      <w:r>
        <w:rPr>
          <w:rFonts w:ascii="Times New Roman" w:hAnsi="Times New Roman"/>
          <w:sz w:val="28"/>
        </w:rPr>
        <w:t>отсутствует.</w:t>
      </w:r>
    </w:p>
    <w:p w14:paraId="44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Определение целей предлагаемого правового регулирования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и индикаторов для оценки их достижения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264"/>
        <w:gridCol w:w="3266"/>
        <w:gridCol w:w="3267"/>
      </w:tblGrid>
      <w:tr>
        <w:tc>
          <w:tcPr>
            <w:tcW w:type="dxa" w:w="3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3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3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widowControl w:val="1"/>
              <w:spacing w:after="120" w:before="120"/>
              <w:ind w:hanging="120" w:left="120" w:right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Утвердить</w:t>
            </w:r>
            <w:r>
              <w:rPr>
                <w:sz w:val="24"/>
              </w:rPr>
              <w:t xml:space="preserve"> Порядок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1"/>
              <w:spacing w:after="120" w:before="120"/>
              <w:ind w:hanging="120" w:left="120" w:righ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 в силу настоящего постановления</w:t>
            </w:r>
          </w:p>
          <w:p w14:paraId="4A000000">
            <w:pPr>
              <w:widowControl w:val="1"/>
              <w:spacing w:after="120" w:before="120"/>
              <w:ind w:hanging="120" w:left="120" w:right="120"/>
              <w:jc w:val="left"/>
              <w:rPr>
                <w:rFonts w:ascii="Times New Roman" w:hAnsi="Times New Roman"/>
                <w:b w:val="0"/>
                <w:i w:val="0"/>
                <w:caps w:val="0"/>
                <w:color w:val="34343C"/>
                <w:spacing w:val="0"/>
                <w:sz w:val="23"/>
                <w:highlight w:val="white"/>
              </w:rPr>
            </w:pPr>
          </w:p>
        </w:tc>
        <w:tc>
          <w:tcPr>
            <w:tcW w:type="dxa" w:w="3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нуждается в мониторинге</w:t>
            </w:r>
          </w:p>
        </w:tc>
      </w:tr>
    </w:tbl>
    <w:p w14:paraId="4C000000">
      <w:pPr>
        <w:widowControl w:val="1"/>
        <w:ind w:firstLine="709"/>
        <w:jc w:val="both"/>
        <w:rPr>
          <w:rFonts w:ascii="Times New Roman" w:hAnsi="Times New Roman"/>
          <w:sz w:val="22"/>
        </w:rPr>
      </w:pPr>
    </w:p>
    <w:p w14:paraId="4D000000">
      <w:pPr>
        <w:widowControl w:val="1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3.4. Действующие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</w:r>
    </w:p>
    <w:p w14:paraId="4E000000">
      <w:pPr>
        <w:widowControl w:val="1"/>
        <w:ind w:firstLine="709"/>
        <w:jc w:val="left"/>
        <w:rPr>
          <w:rFonts w:ascii="Times New Roman" w:hAnsi="Times New Roman"/>
          <w:sz w:val="22"/>
        </w:rPr>
      </w:pPr>
      <w:r>
        <w:rPr>
          <w:sz w:val="28"/>
        </w:rPr>
        <w:t>Федерального закона от 13 марта 2006 года №38-ФЗ «О рекламе».</w:t>
      </w:r>
      <w:r>
        <w:rPr>
          <w:rFonts w:ascii="Times New Roman" w:hAnsi="Times New Roman"/>
          <w:sz w:val="28"/>
        </w:rPr>
        <w:t xml:space="preserve"> 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627"/>
        <w:gridCol w:w="2973"/>
        <w:gridCol w:w="2191"/>
        <w:gridCol w:w="2006"/>
      </w:tblGrid>
      <w:tr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type="dxa" w:w="2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 Единица измерения индикаторов</w:t>
            </w:r>
          </w:p>
        </w:tc>
        <w:tc>
          <w:tcPr>
            <w:tcW w:type="dxa" w:w="2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6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Утвердить</w:t>
            </w:r>
            <w:r>
              <w:rPr>
                <w:sz w:val="24"/>
              </w:rPr>
              <w:t xml:space="preserve"> Порядок обращения с рекламными 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установку и эксплуатацию рекламной конструкции</w:t>
            </w:r>
          </w:p>
        </w:tc>
        <w:tc>
          <w:tcPr>
            <w:tcW w:type="dxa" w:w="2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выявленных конструкций без разрешения</w:t>
            </w:r>
          </w:p>
        </w:tc>
        <w:tc>
          <w:tcPr>
            <w:tcW w:type="dxa" w:w="2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ед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</w:tbl>
    <w:p w14:paraId="57000000">
      <w:pPr>
        <w:rPr>
          <w:rFonts w:ascii="Times New Roman" w:hAnsi="Times New Roman"/>
        </w:rPr>
      </w:pPr>
    </w:p>
    <w:p w14:paraId="58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3.9. Методы расчета индикаторов достижения целей предлагаемого правового регулирования, источники информации для расчетов: отсутствуют. </w:t>
      </w:r>
    </w:p>
    <w:p w14:paraId="59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3.10. Оценка затрат на проведение мониторинга достижения целей предлагаемого правового регулирования: отсутствует. </w:t>
      </w:r>
    </w:p>
    <w:p w14:paraId="5A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5B000000">
      <w:pPr>
        <w:rPr>
          <w:rFonts w:ascii="Times New Roman" w:hAnsi="Times New Roman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72"/>
        <w:gridCol w:w="3100"/>
        <w:gridCol w:w="2925"/>
      </w:tblGrid>
      <w:tr>
        <w:tc>
          <w:tcPr>
            <w:tcW w:type="dxa" w:w="3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Количество участников группы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Источники данных</w:t>
            </w:r>
          </w:p>
        </w:tc>
      </w:tr>
      <w:tr>
        <w:trPr>
          <w:trHeight w:hRule="atLeast" w:val="215"/>
        </w:trPr>
        <w:tc>
          <w:tcPr>
            <w:tcW w:type="dxa" w:w="3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и юридические лица, в том числе индивидуальные предприниматели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ограничено</w:t>
            </w:r>
          </w:p>
        </w:tc>
        <w:tc>
          <w:tcPr>
            <w:tcW w:type="dxa" w:w="29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</w:tbl>
    <w:p w14:paraId="62000000">
      <w:pPr>
        <w:widowControl w:val="1"/>
        <w:ind/>
        <w:jc w:val="center"/>
        <w:rPr>
          <w:rFonts w:ascii="Times New Roman" w:hAnsi="Times New Roman"/>
        </w:rPr>
      </w:pPr>
    </w:p>
    <w:p w14:paraId="63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Изменение функций (полномочий, обязанностей, прав) органов местного самоуправления Ленинградского муниципального округа, а также порядка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их реализации в связи с введением предлагаемого правового регулирования:</w:t>
      </w:r>
    </w:p>
    <w:p w14:paraId="64000000">
      <w:pPr>
        <w:widowControl w:val="1"/>
        <w:ind/>
        <w:jc w:val="center"/>
        <w:rPr>
          <w:rFonts w:ascii="Times New Roman" w:hAnsi="Times New Roman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189"/>
        <w:gridCol w:w="2150"/>
        <w:gridCol w:w="1718"/>
        <w:gridCol w:w="2127"/>
        <w:gridCol w:w="1613"/>
      </w:tblGrid>
      <w:tr>
        <w:tc>
          <w:tcPr>
            <w:tcW w:type="dxa" w:w="2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 Наименование функции (полномочия, обязанности или права)</w:t>
            </w:r>
          </w:p>
        </w:tc>
        <w:tc>
          <w:tcPr>
            <w:tcW w:type="dxa" w:w="2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 Характер функции (новая/ изменяемая/ отменяемая)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5.3. Предлагаемый порядок реализации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979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Наименование органа местного самоуправления:</w:t>
            </w:r>
          </w:p>
        </w:tc>
      </w:tr>
      <w:tr>
        <w:tc>
          <w:tcPr>
            <w:tcW w:type="dxa" w:w="2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бращени</w:t>
            </w:r>
            <w:r>
              <w:rPr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с рекламными </w:t>
            </w:r>
          </w:p>
          <w:p w14:paraId="6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конструкциями, установленными и (или) эксплуатируемыми на территории муниципального образования Ленинградский муниципальный округ Краснодарского края без разрешения на </w:t>
            </w:r>
          </w:p>
          <w:p w14:paraId="6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установку и эксплуатацию рекламной конструкции</w:t>
            </w:r>
          </w:p>
        </w:tc>
        <w:tc>
          <w:tcPr>
            <w:tcW w:type="dxa" w:w="2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новая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Согласно проекту НПА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пределах</w:t>
            </w:r>
          </w:p>
          <w:p w14:paraId="7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штатной</w:t>
            </w:r>
          </w:p>
          <w:p w14:paraId="7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численности </w:t>
            </w:r>
          </w:p>
          <w:p w14:paraId="7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сотрудников отдела архитектуры администрации муниципального образования Ленинградский муниципальный округ Краснодарского края</w:t>
            </w:r>
          </w:p>
        </w:tc>
        <w:tc>
          <w:tcPr>
            <w:tcW w:type="dxa" w:w="16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</w:tbl>
    <w:p w14:paraId="75000000">
      <w:pPr>
        <w:widowControl w:val="1"/>
        <w:ind/>
        <w:jc w:val="center"/>
        <w:rPr>
          <w:rFonts w:ascii="Times New Roman" w:hAnsi="Times New Roman"/>
        </w:rPr>
      </w:pPr>
    </w:p>
    <w:p w14:paraId="76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Оценка дополнительных расходов бюджета Ленинградского муниципального округа, связанных с введением предлагаемого правового регулирования:</w:t>
      </w:r>
    </w:p>
    <w:p w14:paraId="77000000">
      <w:pPr>
        <w:widowControl w:val="1"/>
        <w:ind/>
        <w:jc w:val="center"/>
        <w:rPr>
          <w:rFonts w:ascii="Times New Roman" w:hAnsi="Times New Roman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263"/>
        <w:gridCol w:w="3268"/>
        <w:gridCol w:w="3266"/>
      </w:tblGrid>
      <w:tr>
        <w:tc>
          <w:tcPr>
            <w:tcW w:type="dxa" w:w="3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6.1. Наименование функции (полномочия, обязанности или права)</w:t>
            </w:r>
          </w:p>
        </w:tc>
        <w:tc>
          <w:tcPr>
            <w:tcW w:type="dxa" w:w="3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6.2. Виды расходов (возможных поступлений) местного бюджета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6.3. Количественная оценка расходов и возможных поступлений, тыс. руб.</w:t>
            </w:r>
          </w:p>
        </w:tc>
      </w:tr>
      <w:tr>
        <w:tc>
          <w:tcPr>
            <w:tcW w:type="dxa" w:w="979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органа местного самоуправления:</w:t>
            </w:r>
          </w:p>
        </w:tc>
      </w:tr>
      <w:tr>
        <w:trPr>
          <w:trHeight w:hRule="atLeast" w:val="185"/>
        </w:trPr>
        <w:tc>
          <w:tcPr>
            <w:tcW w:type="dxa" w:w="32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 Функция (полномочие, обязанность или право)</w:t>
            </w:r>
          </w:p>
        </w:tc>
        <w:tc>
          <w:tcPr>
            <w:tcW w:type="dxa" w:w="3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 1 раз в год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(от 1 до №) за период _____ гг.: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185"/>
        </w:trPr>
        <w:tc>
          <w:tcPr>
            <w:tcW w:type="dxa" w:w="32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доходы (от 1 до №) за период _______ гг.: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65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единовременные расходы за 1 год: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65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периодические расходы за период _______ гг.: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65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возможные доходы за период _______гг.:</w:t>
            </w:r>
          </w:p>
        </w:tc>
        <w:tc>
          <w:tcPr>
            <w:tcW w:type="dxa" w:w="3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89000000">
      <w:pPr>
        <w:widowControl w:val="1"/>
        <w:ind w:firstLine="709"/>
        <w:jc w:val="both"/>
        <w:rPr>
          <w:rFonts w:ascii="Times New Roman" w:hAnsi="Times New Roman"/>
        </w:rPr>
      </w:pPr>
    </w:p>
    <w:p w14:paraId="8A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6.4. Другие сведения о дополнительных расходах бюджета Ленинградского муниципального округа, возникающих в связи с введением предлагаемого правового регулирования: отсутствуют. </w:t>
      </w:r>
    </w:p>
    <w:p w14:paraId="8B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6.5. Источники данных: отсутствуют.</w:t>
      </w:r>
    </w:p>
    <w:p w14:paraId="8C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8D000000">
      <w:pPr>
        <w:rPr>
          <w:rFonts w:ascii="Times New Roman" w:hAnsi="Times New Roman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225"/>
        <w:gridCol w:w="3231"/>
        <w:gridCol w:w="2255"/>
        <w:gridCol w:w="2086"/>
      </w:tblGrid>
      <w:tr>
        <w:tc>
          <w:tcPr>
            <w:tcW w:type="dxa" w:w="2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7.1. Группы потенциальных адресатов предлагаемого правового регулирования</w:t>
            </w:r>
          </w:p>
        </w:tc>
        <w:tc>
          <w:tcPr>
            <w:tcW w:type="dxa" w:w="3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 соответствующих положений проекта нормативного правового акта)</w:t>
            </w:r>
          </w:p>
        </w:tc>
        <w:tc>
          <w:tcPr>
            <w:tcW w:type="dxa" w:w="2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2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7.4. Количественная оценка, млн. руб.</w:t>
            </w:r>
          </w:p>
        </w:tc>
      </w:tr>
      <w:tr>
        <w:tc>
          <w:tcPr>
            <w:tcW w:type="dxa" w:w="22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и юридические лица, в том числе индивидуальные предприниматели</w:t>
            </w:r>
          </w:p>
        </w:tc>
        <w:tc>
          <w:tcPr>
            <w:tcW w:type="dxa" w:w="32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3000000">
            <w:pPr>
              <w:widowControl w:val="1"/>
              <w:spacing w:after="0" w:line="240" w:lineRule="auto"/>
              <w:ind w:firstLine="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Отсутствуют </w:t>
            </w:r>
          </w:p>
        </w:tc>
        <w:tc>
          <w:tcPr>
            <w:tcW w:type="dxa" w:w="22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4000000">
            <w:pPr>
              <w:widowControl w:val="1"/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предусмотрены</w:t>
            </w:r>
          </w:p>
        </w:tc>
        <w:tc>
          <w:tcPr>
            <w:tcW w:type="dxa" w:w="20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5000000">
            <w:pPr>
              <w:widowControl w:val="1"/>
              <w:spacing w:after="0" w:line="240" w:lineRule="auto"/>
              <w:ind w:firstLine="8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Отсутствует</w:t>
            </w:r>
          </w:p>
        </w:tc>
      </w:tr>
      <w:tr>
        <w:tc>
          <w:tcPr>
            <w:tcW w:type="dxa" w:w="22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  <w:tc>
          <w:tcPr>
            <w:tcW w:type="dxa" w:w="22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  <w:tc>
          <w:tcPr>
            <w:tcW w:type="dxa" w:w="20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</w:tr>
    </w:tbl>
    <w:p w14:paraId="96000000">
      <w:pPr>
        <w:widowControl w:val="1"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97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7.5. Издержки и выгоды адресатов предлагаемого правового регулирования, не поддающиеся количественной оценке: отсутствуют.</w:t>
      </w:r>
    </w:p>
    <w:p w14:paraId="98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7.6. Источники данных: отсутствуют.</w:t>
      </w:r>
    </w:p>
    <w:p w14:paraId="99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8. Оценка рисков неблагоприятных последствий применения предлагаемого правового регулирования:</w:t>
      </w:r>
    </w:p>
    <w:p w14:paraId="9A000000">
      <w:pPr>
        <w:widowControl w:val="1"/>
        <w:ind w:firstLine="709"/>
        <w:rPr>
          <w:rFonts w:ascii="Times New Roman" w:hAnsi="Times New Roman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619"/>
        <w:gridCol w:w="2635"/>
        <w:gridCol w:w="2536"/>
        <w:gridCol w:w="2007"/>
      </w:tblGrid>
      <w:tr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8.1. Виды рисков</w:t>
            </w:r>
          </w:p>
        </w:tc>
        <w:tc>
          <w:tcPr>
            <w:tcW w:type="dxa" w:w="2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2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8.3. Методы контроля рисков</w:t>
            </w:r>
          </w:p>
        </w:tc>
        <w:tc>
          <w:tcPr>
            <w:tcW w:type="dxa" w:w="2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8.4. Степень контроля рисков (полный/ частичный/ отсутствует)</w:t>
            </w:r>
          </w:p>
        </w:tc>
      </w:tr>
      <w:tr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0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A3000000">
      <w:pPr>
        <w:widowControl w:val="1"/>
        <w:ind/>
        <w:jc w:val="both"/>
        <w:rPr>
          <w:rFonts w:ascii="Times New Roman" w:hAnsi="Times New Roman"/>
          <w:sz w:val="24"/>
        </w:rPr>
      </w:pPr>
    </w:p>
    <w:p w14:paraId="A400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8.5. Источники данных: отсутствуют.</w:t>
      </w:r>
    </w:p>
    <w:p w14:paraId="A5000000">
      <w:pPr>
        <w:widowControl w:val="1"/>
        <w:ind/>
        <w:jc w:val="both"/>
        <w:rPr>
          <w:rFonts w:ascii="Times New Roman" w:hAnsi="Times New Roman"/>
          <w:sz w:val="24"/>
        </w:rPr>
      </w:pPr>
    </w:p>
    <w:p w14:paraId="A6000000">
      <w:pPr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9. Сравнение возможных вариантов решения проблемы:</w:t>
      </w:r>
    </w:p>
    <w:p w14:paraId="A7000000">
      <w:pPr>
        <w:widowControl w:val="1"/>
        <w:ind/>
        <w:jc w:val="center"/>
        <w:rPr>
          <w:rFonts w:ascii="Times New Roman" w:hAnsi="Times New Roman"/>
        </w:rPr>
      </w:pPr>
    </w:p>
    <w:tbl>
      <w:tblPr>
        <w:tblStyle w:val="Style_3"/>
        <w:tblW w:type="auto" w:w="0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111"/>
        <w:gridCol w:w="3260"/>
        <w:gridCol w:w="2231"/>
      </w:tblGrid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9.1. Содержание варианта решения проблемы:</w:t>
            </w:r>
          </w:p>
          <w:p w14:paraId="AC000000">
            <w:pPr>
              <w:widowControl w:val="0"/>
              <w:ind/>
              <w:rPr>
                <w:sz w:val="24"/>
              </w:rPr>
            </w:pP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правового акта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Непринятие муниципального правового акта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 изменяется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  <w:t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отсутствуют</w:t>
            </w:r>
          </w:p>
        </w:tc>
      </w:tr>
      <w:tr>
        <w:trPr>
          <w:trHeight w:hRule="atLeast" w:val="1237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9.4. </w:t>
            </w:r>
            <w:r>
              <w:rPr>
                <w:sz w:val="24"/>
              </w:rPr>
              <w:t>Оценка расходов</w:t>
            </w:r>
          </w:p>
          <w:p w14:paraId="B6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(доходов) местного бюджета,</w:t>
            </w:r>
          </w:p>
          <w:p w14:paraId="B7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связанных с введением</w:t>
            </w:r>
          </w:p>
          <w:p w14:paraId="B8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предлагаемого правового</w:t>
            </w:r>
          </w:p>
          <w:p w14:paraId="B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регулирования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отсутствуют</w:t>
            </w:r>
          </w:p>
        </w:tc>
      </w:tr>
      <w:tr>
        <w:trPr>
          <w:trHeight w:hRule="atLeast" w:val="2760"/>
        </w:trPr>
        <w:tc>
          <w:tcPr>
            <w:tcW w:type="dxa" w:w="411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9.5. Оценка возможности достижения заявленных целей регулирования (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"file:///C:\\Users\\2356-10071\\AppData\\Roaming\\User\\Desktop\\%25D0%259F%25D0%259E%25D0%25A0%25D0%25AF%25D0%2594%25D0%259E%25D0%259A%20%25D0%259E%25D0%25A0%25D0%2592%20%25D0%25BD%25D0%25BE%25D1%258F%25D0%25B1%25D1%2580%25D1%258C.doc#Par70"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пункт 3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326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00000">
            <w:pPr>
              <w:pStyle w:val="Style_4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Предполагаемая цель будет достигнута</w:t>
            </w:r>
          </w:p>
        </w:tc>
        <w:tc>
          <w:tcPr>
            <w:tcW w:type="dxa" w:w="223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Предполагаемая цель не будет достигнута</w:t>
            </w:r>
          </w:p>
        </w:tc>
      </w:tr>
      <w:tr>
        <w:trPr>
          <w:trHeight w:hRule="atLeast" w:val="1530"/>
        </w:trPr>
        <w:tc>
          <w:tcPr>
            <w:tcW w:type="dxa" w:w="411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9.6. Оценка рисков неблагоприятных последствий</w:t>
            </w:r>
          </w:p>
        </w:tc>
        <w:tc>
          <w:tcPr>
            <w:tcW w:type="dxa" w:w="326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231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нарушение Федерального законодательства</w:t>
            </w:r>
          </w:p>
        </w:tc>
      </w:tr>
    </w:tbl>
    <w:p w14:paraId="C2000000">
      <w:pPr>
        <w:widowControl w:val="1"/>
        <w:ind w:firstLine="709"/>
        <w:jc w:val="both"/>
        <w:rPr>
          <w:rFonts w:ascii="Times New Roman" w:hAnsi="Times New Roman"/>
        </w:rPr>
      </w:pPr>
    </w:p>
    <w:p w14:paraId="C3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9.7. Обоснование выбора предпочтительного варианта решения выявленной проблемы, в том числе обоснование соразмерности затрат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на исполнение обязательных требований, лицами, в отношении которых они устанавливаются, с рисками, предотвращаемыми этими обязательными требованиями, при обычных условиях гражданского оборота: требованиями, при обычных условиях гражданского оборота: единственным вариантом решения проблемы является принятие проекта постановления направленного на исполнение требований действующего законодательства (вариант 1).</w:t>
      </w:r>
    </w:p>
    <w:p w14:paraId="C4000000">
      <w:pPr>
        <w:widowControl w:val="1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9.8. Детальное описание предлагаемого варианта решения проблемы: проект разработан в соответствии с действующим законодательством -</w:t>
      </w:r>
      <w:r>
        <w:rPr>
          <w:sz w:val="28"/>
        </w:rPr>
        <w:t>Федерального закона от 13 марта 2006 года №38-ФЗ «О рекламе»</w:t>
      </w:r>
      <w:r>
        <w:rPr>
          <w:rFonts w:ascii="Times New Roman" w:hAnsi="Times New Roman"/>
          <w:sz w:val="28"/>
        </w:rPr>
        <w:t xml:space="preserve">. </w:t>
      </w:r>
    </w:p>
    <w:p w14:paraId="C5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Оценка необходимости установления переходного периода и (или) отсрочки вступления в силу муниципального правового акта либо необходимость распространения предлагаемого правового регулирования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на ранее возникшие отношения:</w:t>
      </w:r>
    </w:p>
    <w:p w14:paraId="C6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10.1. Предлагаемая дата вступления в силу муниципального правового акта:октябрь 2026 года, со дня официального опубликования.</w:t>
      </w:r>
    </w:p>
    <w:p w14:paraId="C7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10.2. Необходимость установления переходного периода и (или) отсрочки введения предлагаемого правового регулирования: нет.</w:t>
      </w:r>
    </w:p>
    <w:p w14:paraId="C8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10.2.1. Срок переходного периода: нет.</w:t>
      </w:r>
    </w:p>
    <w:p w14:paraId="C9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10.2.2. Отсрочка введения предлагаемого правового регулирования: нет.</w:t>
      </w:r>
    </w:p>
    <w:p w14:paraId="CA000000">
      <w:pPr>
        <w:widowControl w:val="1"/>
        <w:ind w:firstLine="709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3"/>
          <w:highlight w:val="white"/>
        </w:rPr>
      </w:pPr>
      <w:r>
        <w:rPr>
          <w:rFonts w:ascii="Times New Roman" w:hAnsi="Times New Roman"/>
        </w:rPr>
        <w:t>10.2.3. Срок действия правового регулирования: не ограничен, с даты вступления в силу муниципального нормативного правового акта.</w:t>
      </w:r>
    </w:p>
    <w:p w14:paraId="CB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10.3. Необходимость распространения предлагаемого правового регулирования на ранее возникшие отношения: нет.</w:t>
      </w:r>
    </w:p>
    <w:p w14:paraId="CC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10.3.1. Период распространения на ранее возникшие отношения: нет.</w:t>
      </w:r>
    </w:p>
    <w:p w14:paraId="CD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10.4. Обоснование необходимости установления переходного периода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и (или) отсрочки вступления в силу муниципального правового акта либо необходимости распространения предлагаемого правового регулирования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на ранее возникшие отношения: отсутствует.</w:t>
      </w:r>
    </w:p>
    <w:p w14:paraId="CE000000">
      <w:pPr>
        <w:widowControl w:val="1"/>
        <w:ind/>
        <w:jc w:val="both"/>
        <w:rPr>
          <w:rFonts w:ascii="Times New Roman" w:hAnsi="Times New Roman"/>
        </w:rPr>
      </w:pPr>
    </w:p>
    <w:p w14:paraId="CF000000">
      <w:pPr>
        <w:widowControl w:val="1"/>
        <w:ind/>
        <w:jc w:val="both"/>
        <w:rPr>
          <w:rFonts w:ascii="Times New Roman" w:hAnsi="Times New Roman"/>
        </w:rPr>
      </w:pPr>
    </w:p>
    <w:p w14:paraId="D0000000">
      <w:pPr>
        <w:widowControl w:val="1"/>
        <w:ind/>
        <w:jc w:val="both"/>
        <w:rPr>
          <w:rFonts w:ascii="Times New Roman" w:hAnsi="Times New Roman"/>
        </w:rPr>
      </w:pPr>
      <w:bookmarkStart w:id="1" w:name="_GoBack"/>
      <w:bookmarkEnd w:id="1"/>
    </w:p>
    <w:p w14:paraId="D1000000">
      <w:pPr>
        <w:widowControl w:val="1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</w:p>
    <w:p w14:paraId="D2000000">
      <w:pPr>
        <w:widowControl w:val="1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Ленинградского муниципального округа, </w:t>
      </w:r>
    </w:p>
    <w:p w14:paraId="D3000000">
      <w:pPr>
        <w:widowControl w:val="1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отдела имущественных  </w:t>
      </w:r>
    </w:p>
    <w:p w14:paraId="D4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отношений администрации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              Р.Г. Тоцкая</w:t>
      </w:r>
    </w:p>
    <w:sectPr>
      <w:headerReference r:id="rId1" w:type="default"/>
      <w:headerReference r:id="rId2" w:type="even"/>
      <w:pgSz w:h="16838" w:orient="portrait" w:w="11906"/>
      <w:pgMar w:bottom="1134" w:footer="851" w:gutter="0" w:header="851" w:left="1701" w:right="624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default="1" w:styleId="Style_5_ch" w:type="character">
    <w:name w:val="Normal"/>
    <w:link w:val="Style_5"/>
    <w:rPr>
      <w:rFonts w:ascii="Times New Roman" w:hAnsi="Times New Roman"/>
      <w:color w:val="000000"/>
      <w:spacing w:val="0"/>
      <w:sz w:val="28"/>
    </w:rPr>
  </w:style>
  <w:style w:styleId="Style_6" w:type="paragraph">
    <w:name w:val="toc 2"/>
    <w:next w:val="Style_5"/>
    <w:link w:val="Style_6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Body Text Indent"/>
    <w:basedOn w:val="Style_5"/>
    <w:link w:val="Style_8_ch"/>
    <w:pPr>
      <w:widowControl w:val="1"/>
      <w:ind w:firstLine="708"/>
      <w:jc w:val="both"/>
    </w:pPr>
    <w:rPr>
      <w:sz w:val="24"/>
    </w:rPr>
  </w:style>
  <w:style w:styleId="Style_8_ch" w:type="character">
    <w:name w:val="Body Text Indent"/>
    <w:basedOn w:val="Style_5_ch"/>
    <w:link w:val="Style_8"/>
    <w:rPr>
      <w:sz w:val="24"/>
    </w:rPr>
  </w:style>
  <w:style w:styleId="Style_9" w:type="paragraph">
    <w:name w:val="toc 6"/>
    <w:next w:val="Style_5"/>
    <w:link w:val="Style_9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6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7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Endnote"/>
    <w:link w:val="Style_1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1_ch" w:type="character">
    <w:name w:val="Endnote"/>
    <w:link w:val="Style_11"/>
    <w:rPr>
      <w:rFonts w:ascii="XO Thames" w:hAnsi="XO Thames"/>
      <w:color w:val="000000"/>
      <w:spacing w:val="0"/>
      <w:sz w:val="22"/>
    </w:rPr>
  </w:style>
  <w:style w:styleId="Style_12" w:type="paragraph">
    <w:name w:val="heading 3"/>
    <w:basedOn w:val="Style_5"/>
    <w:next w:val="Style_5"/>
    <w:link w:val="Style_12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2_ch" w:type="character">
    <w:name w:val="heading 3"/>
    <w:basedOn w:val="Style_5_ch"/>
    <w:link w:val="Style_12"/>
    <w:rPr>
      <w:rFonts w:ascii="Arial" w:hAnsi="Arial"/>
      <w:b w:val="1"/>
      <w:sz w:val="26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13" w:type="paragraph">
    <w:name w:val="Цветовое выделение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26282F"/>
      <w:spacing w:val="0"/>
      <w:sz w:val="26"/>
    </w:rPr>
  </w:style>
  <w:style w:styleId="Style_13_ch" w:type="character">
    <w:name w:val="Цветовое выделение"/>
    <w:link w:val="Style_13"/>
    <w:rPr>
      <w:rFonts w:ascii="Times New Roman" w:hAnsi="Times New Roman"/>
      <w:b w:val="1"/>
      <w:color w:val="26282F"/>
      <w:spacing w:val="0"/>
      <w:sz w:val="26"/>
    </w:rPr>
  </w:style>
  <w:style w:styleId="Style_14" w:type="paragraph">
    <w:name w:val="Прижатый влево"/>
    <w:basedOn w:val="Style_5"/>
    <w:next w:val="Style_5"/>
    <w:link w:val="Style_14_ch"/>
    <w:pPr>
      <w:widowControl w:val="0"/>
      <w:ind/>
    </w:pPr>
    <w:rPr>
      <w:rFonts w:ascii="Arial" w:hAnsi="Arial"/>
      <w:sz w:val="24"/>
    </w:rPr>
  </w:style>
  <w:style w:styleId="Style_14_ch" w:type="character">
    <w:name w:val="Прижатый влево"/>
    <w:basedOn w:val="Style_5_ch"/>
    <w:link w:val="Style_14"/>
    <w:rPr>
      <w:rFonts w:ascii="Arial" w:hAnsi="Arial"/>
      <w:sz w:val="24"/>
    </w:rPr>
  </w:style>
  <w:style w:styleId="Style_15" w:type="paragraph">
    <w:name w:val="ConsPlusCell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0"/>
    </w:rPr>
  </w:style>
  <w:style w:styleId="Style_15_ch" w:type="character">
    <w:name w:val="ConsPlusCell"/>
    <w:link w:val="Style_15"/>
    <w:rPr>
      <w:rFonts w:ascii="Arial" w:hAnsi="Arial"/>
      <w:color w:val="000000"/>
      <w:spacing w:val="0"/>
      <w:sz w:val="20"/>
    </w:rPr>
  </w:style>
  <w:style w:styleId="Style_16" w:type="paragraph">
    <w:name w:val="FollowedHyperlink"/>
    <w:link w:val="Style_16_ch"/>
    <w:rPr>
      <w:color w:val="800080"/>
      <w:u w:val="single"/>
    </w:rPr>
  </w:style>
  <w:style w:styleId="Style_16_ch" w:type="character">
    <w:name w:val="FollowedHyperlink"/>
    <w:link w:val="Style_16"/>
    <w:rPr>
      <w:color w:val="800080"/>
      <w:u w:val="single"/>
    </w:rPr>
  </w:style>
  <w:style w:styleId="Style_17" w:type="paragraph">
    <w:name w:val="Normal (Web)"/>
    <w:basedOn w:val="Style_5"/>
    <w:link w:val="Style_17_ch"/>
    <w:rPr>
      <w:sz w:val="24"/>
    </w:rPr>
  </w:style>
  <w:style w:styleId="Style_17_ch" w:type="character">
    <w:name w:val="Normal (Web)"/>
    <w:basedOn w:val="Style_5_ch"/>
    <w:link w:val="Style_17"/>
    <w:rPr>
      <w:sz w:val="24"/>
    </w:rPr>
  </w:style>
  <w:style w:styleId="Style_18" w:type="paragraph">
    <w:name w:val="Заголовок своего сообщения"/>
    <w:link w:val="Style_1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26282F"/>
      <w:spacing w:val="0"/>
      <w:sz w:val="20"/>
    </w:rPr>
  </w:style>
  <w:style w:styleId="Style_18_ch" w:type="character">
    <w:name w:val="Заголовок своего сообщения"/>
    <w:link w:val="Style_18"/>
    <w:rPr>
      <w:rFonts w:ascii="Times New Roman" w:hAnsi="Times New Roman"/>
      <w:b w:val="1"/>
      <w:color w:val="26282F"/>
      <w:spacing w:val="0"/>
      <w:sz w:val="20"/>
    </w:rPr>
  </w:style>
  <w:style w:styleId="Style_19" w:type="paragraph">
    <w:name w:val="Нормальный (таблица)"/>
    <w:basedOn w:val="Style_5"/>
    <w:next w:val="Style_5"/>
    <w:link w:val="Style_19_ch"/>
    <w:pPr>
      <w:widowControl w:val="0"/>
      <w:ind/>
      <w:jc w:val="both"/>
    </w:pPr>
    <w:rPr>
      <w:rFonts w:ascii="Arial" w:hAnsi="Arial"/>
      <w:sz w:val="24"/>
    </w:rPr>
  </w:style>
  <w:style w:styleId="Style_19_ch" w:type="character">
    <w:name w:val="Нормальный (таблица)"/>
    <w:basedOn w:val="Style_5_ch"/>
    <w:link w:val="Style_19"/>
    <w:rPr>
      <w:rFonts w:ascii="Arial" w:hAnsi="Arial"/>
      <w:sz w:val="24"/>
    </w:rPr>
  </w:style>
  <w:style w:styleId="Style_20" w:type="paragraph">
    <w:name w:val="Heading"/>
    <w:link w:val="Style_20_ch"/>
    <w:pPr>
      <w:widowControl w:val="0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20_ch" w:type="character">
    <w:name w:val="Heading"/>
    <w:link w:val="Style_20"/>
    <w:rPr>
      <w:rFonts w:ascii="Arial" w:hAnsi="Arial"/>
      <w:b w:val="1"/>
      <w:color w:val="000000"/>
      <w:spacing w:val="0"/>
      <w:sz w:val="22"/>
    </w:rPr>
  </w:style>
  <w:style w:styleId="Style_21" w:type="paragraph">
    <w:name w:val="Balloon Text"/>
    <w:basedOn w:val="Style_5"/>
    <w:link w:val="Style_21_ch"/>
    <w:rPr>
      <w:rFonts w:ascii="Tahoma" w:hAnsi="Tahoma"/>
      <w:sz w:val="16"/>
    </w:rPr>
  </w:style>
  <w:style w:styleId="Style_21_ch" w:type="character">
    <w:name w:val="Balloon Text"/>
    <w:basedOn w:val="Style_5_ch"/>
    <w:link w:val="Style_21"/>
    <w:rPr>
      <w:rFonts w:ascii="Tahoma" w:hAnsi="Tahoma"/>
      <w:sz w:val="16"/>
    </w:rPr>
  </w:style>
  <w:style w:styleId="Style_22" w:type="paragraph">
    <w:name w:val="toc 3"/>
    <w:next w:val="Style_5"/>
    <w:link w:val="Style_22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toc 3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Font Style36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3_ch" w:type="character">
    <w:name w:val="Font Style36"/>
    <w:link w:val="Style_23"/>
    <w:rPr>
      <w:rFonts w:ascii="Times New Roman" w:hAnsi="Times New Roman"/>
      <w:b w:val="1"/>
      <w:color w:val="000000"/>
      <w:spacing w:val="0"/>
      <w:sz w:val="20"/>
    </w:rPr>
  </w:style>
  <w:style w:styleId="Style_24" w:type="paragraph">
    <w:name w:val=" Знак Знак Знак Знак"/>
    <w:basedOn w:val="Style_5"/>
    <w:link w:val="Style_24_ch"/>
    <w:pPr>
      <w:widowControl w:val="1"/>
      <w:spacing w:after="160" w:line="240" w:lineRule="exact"/>
      <w:ind/>
    </w:pPr>
    <w:rPr>
      <w:sz w:val="20"/>
    </w:rPr>
  </w:style>
  <w:style w:styleId="Style_24_ch" w:type="character">
    <w:name w:val=" Знак Знак Знак Знак"/>
    <w:basedOn w:val="Style_5_ch"/>
    <w:link w:val="Style_24"/>
    <w:rPr>
      <w:sz w:val="20"/>
    </w:rPr>
  </w:style>
  <w:style w:styleId="Style_25" w:type="paragraph">
    <w:name w:val="Знак Знак Знак Знак"/>
    <w:basedOn w:val="Style_5"/>
    <w:link w:val="Style_25_ch"/>
    <w:pPr>
      <w:widowControl w:val="1"/>
      <w:spacing w:after="160" w:line="240" w:lineRule="exact"/>
      <w:ind/>
    </w:pPr>
    <w:rPr>
      <w:sz w:val="20"/>
    </w:rPr>
  </w:style>
  <w:style w:styleId="Style_25_ch" w:type="character">
    <w:name w:val="Знак Знак Знак Знак"/>
    <w:basedOn w:val="Style_5_ch"/>
    <w:link w:val="Style_25"/>
    <w:rPr>
      <w:sz w:val="20"/>
    </w:rPr>
  </w:style>
  <w:style w:styleId="Style_26" w:type="paragraph">
    <w:name w:val="heading 5"/>
    <w:next w:val="Style_5"/>
    <w:link w:val="Style_2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6_ch" w:type="character">
    <w:name w:val="heading 5"/>
    <w:link w:val="Style_26"/>
    <w:rPr>
      <w:rFonts w:ascii="XO Thames" w:hAnsi="XO Thames"/>
      <w:b w:val="1"/>
      <w:color w:val="000000"/>
      <w:spacing w:val="0"/>
      <w:sz w:val="22"/>
    </w:rPr>
  </w:style>
  <w:style w:styleId="Style_27" w:type="paragraph">
    <w:name w:val="heading 1"/>
    <w:basedOn w:val="Style_5"/>
    <w:next w:val="Style_5"/>
    <w:link w:val="Style_27_ch"/>
    <w:uiPriority w:val="9"/>
    <w:qFormat/>
    <w:pPr>
      <w:keepNext w:val="1"/>
      <w:widowControl w:val="1"/>
      <w:ind/>
      <w:jc w:val="center"/>
      <w:outlineLvl w:val="0"/>
    </w:pPr>
    <w:rPr>
      <w:b w:val="1"/>
      <w:caps w:val="1"/>
      <w:color w:val="000000"/>
      <w:spacing w:val="-1"/>
      <w:sz w:val="24"/>
    </w:rPr>
  </w:style>
  <w:style w:styleId="Style_27_ch" w:type="character">
    <w:name w:val="heading 1"/>
    <w:basedOn w:val="Style_5_ch"/>
    <w:link w:val="Style_27"/>
    <w:rPr>
      <w:b w:val="1"/>
      <w:caps w:val="1"/>
      <w:color w:val="000000"/>
      <w:spacing w:val="-1"/>
      <w:sz w:val="24"/>
    </w:rPr>
  </w:style>
  <w:style w:styleId="Style_28" w:type="paragraph">
    <w:name w:val="Hyperlink"/>
    <w:link w:val="Style_28_ch"/>
    <w:rPr>
      <w:color w:val="002680"/>
      <w:u w:val="single"/>
    </w:rPr>
  </w:style>
  <w:style w:styleId="Style_28_ch" w:type="character">
    <w:name w:val="Hyperlink"/>
    <w:link w:val="Style_28"/>
    <w:rPr>
      <w:color w:val="002680"/>
      <w:u w:val="single"/>
    </w:rPr>
  </w:style>
  <w:style w:styleId="Style_29" w:type="paragraph">
    <w:name w:val="Footnote"/>
    <w:link w:val="Style_2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9_ch" w:type="character">
    <w:name w:val="Footnote"/>
    <w:link w:val="Style_29"/>
    <w:rPr>
      <w:rFonts w:ascii="XO Thames" w:hAnsi="XO Thames"/>
      <w:color w:val="000000"/>
      <w:spacing w:val="0"/>
      <w:sz w:val="22"/>
    </w:rPr>
  </w:style>
  <w:style w:styleId="Style_30" w:type="paragraph">
    <w:name w:val="toc 1"/>
    <w:next w:val="Style_5"/>
    <w:link w:val="Style_30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0_ch" w:type="character">
    <w:name w:val="toc 1"/>
    <w:link w:val="Style_30"/>
    <w:rPr>
      <w:rFonts w:ascii="XO Thames" w:hAnsi="XO Thames"/>
      <w:b w:val="1"/>
      <w:color w:val="000000"/>
      <w:spacing w:val="0"/>
      <w:sz w:val="28"/>
    </w:rPr>
  </w:style>
  <w:style w:styleId="Style_31" w:type="paragraph">
    <w:name w:val="Header and Footer"/>
    <w:link w:val="Style_31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31_ch" w:type="character">
    <w:name w:val="Header and Footer"/>
    <w:link w:val="Style_31"/>
    <w:rPr>
      <w:rFonts w:ascii="XO Thames" w:hAnsi="XO Thames"/>
      <w:color w:val="000000"/>
      <w:spacing w:val="0"/>
      <w:sz w:val="28"/>
    </w:rPr>
  </w:style>
  <w:style w:styleId="Style_32" w:type="paragraph">
    <w:name w:val="toc 9"/>
    <w:next w:val="Style_5"/>
    <w:link w:val="Style_32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2_ch" w:type="character">
    <w:name w:val="toc 9"/>
    <w:link w:val="Style_32"/>
    <w:rPr>
      <w:rFonts w:ascii="XO Thames" w:hAnsi="XO Thames"/>
      <w:color w:val="000000"/>
      <w:spacing w:val="0"/>
      <w:sz w:val="28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4" w:type="paragraph">
    <w:name w:val="Default"/>
    <w:link w:val="Style_4_ch"/>
    <w:rPr>
      <w:rFonts w:asciiTheme="minorAscii" w:hAnsiTheme="minorHAnsi"/>
      <w:color w:val="000000"/>
      <w:sz w:val="22"/>
    </w:rPr>
  </w:style>
  <w:style w:styleId="Style_4_ch" w:type="character">
    <w:name w:val="Default"/>
    <w:link w:val="Style_4"/>
    <w:rPr>
      <w:rFonts w:asciiTheme="minorAscii" w:hAnsiTheme="minorHAnsi"/>
      <w:color w:val="000000"/>
      <w:sz w:val="22"/>
    </w:rPr>
  </w:style>
  <w:style w:styleId="Style_34" w:type="paragraph">
    <w:name w:val="toc 8"/>
    <w:next w:val="Style_5"/>
    <w:link w:val="Style_34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toc 8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List Paragraph"/>
    <w:basedOn w:val="Style_5"/>
    <w:link w:val="Style_35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5_ch" w:type="character">
    <w:name w:val="List Paragraph"/>
    <w:basedOn w:val="Style_5_ch"/>
    <w:link w:val="Style_35"/>
    <w:rPr>
      <w:rFonts w:ascii="Calibri" w:hAnsi="Calibri"/>
      <w:sz w:val="22"/>
    </w:rPr>
  </w:style>
  <w:style w:styleId="Style_36" w:type="paragraph">
    <w:name w:val="toc 5"/>
    <w:next w:val="Style_5"/>
    <w:link w:val="Style_36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36_ch" w:type="character">
    <w:name w:val="toc 5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Subtitle"/>
    <w:basedOn w:val="Style_5"/>
    <w:link w:val="Style_37_ch"/>
    <w:uiPriority w:val="11"/>
    <w:qFormat/>
    <w:pPr>
      <w:widowControl w:val="1"/>
      <w:ind/>
      <w:jc w:val="center"/>
    </w:pPr>
    <w:rPr>
      <w:b w:val="1"/>
    </w:rPr>
  </w:style>
  <w:style w:styleId="Style_37_ch" w:type="character">
    <w:name w:val="Subtitle"/>
    <w:basedOn w:val="Style_5_ch"/>
    <w:link w:val="Style_37"/>
    <w:rPr>
      <w:b w:val="1"/>
    </w:rPr>
  </w:style>
  <w:style w:styleId="Style_38" w:type="paragraph">
    <w:name w:val="Гипертекстовая ссылка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8000"/>
      <w:spacing w:val="0"/>
      <w:sz w:val="16"/>
      <w:u w:val="single"/>
    </w:rPr>
  </w:style>
  <w:style w:styleId="Style_38_ch" w:type="character">
    <w:name w:val="Гипертекстовая ссылка"/>
    <w:link w:val="Style_38"/>
    <w:rPr>
      <w:rFonts w:ascii="Times New Roman" w:hAnsi="Times New Roman"/>
      <w:color w:val="008000"/>
      <w:spacing w:val="0"/>
      <w:sz w:val="16"/>
      <w:u w:val="single"/>
    </w:rPr>
  </w:style>
  <w:style w:styleId="Style_39" w:type="paragraph">
    <w:name w:val="Title"/>
    <w:basedOn w:val="Style_5"/>
    <w:link w:val="Style_39_ch"/>
    <w:uiPriority w:val="10"/>
    <w:qFormat/>
    <w:pPr>
      <w:widowControl w:val="1"/>
      <w:ind/>
      <w:jc w:val="center"/>
    </w:pPr>
    <w:rPr>
      <w:b w:val="1"/>
      <w:sz w:val="32"/>
    </w:rPr>
  </w:style>
  <w:style w:styleId="Style_39_ch" w:type="character">
    <w:name w:val="Title"/>
    <w:basedOn w:val="Style_5_ch"/>
    <w:link w:val="Style_39"/>
    <w:rPr>
      <w:b w:val="1"/>
      <w:sz w:val="32"/>
    </w:rPr>
  </w:style>
  <w:style w:styleId="Style_40" w:type="paragraph">
    <w:name w:val="heading 4"/>
    <w:next w:val="Style_5"/>
    <w:link w:val="Style_4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0_ch" w:type="character">
    <w:name w:val="heading 4"/>
    <w:link w:val="Style_40"/>
    <w:rPr>
      <w:rFonts w:ascii="XO Thames" w:hAnsi="XO Thames"/>
      <w:b w:val="1"/>
      <w:color w:val="000000"/>
      <w:spacing w:val="0"/>
      <w:sz w:val="24"/>
    </w:rPr>
  </w:style>
  <w:style w:styleId="Style_41" w:type="paragraph">
    <w:name w:val="footer"/>
    <w:basedOn w:val="Style_5"/>
    <w:link w:val="Style_41_ch"/>
    <w:pPr>
      <w:widowControl w:val="1"/>
      <w:tabs>
        <w:tab w:leader="none" w:pos="4677" w:val="center"/>
        <w:tab w:leader="none" w:pos="9355" w:val="right"/>
      </w:tabs>
      <w:ind/>
    </w:pPr>
  </w:style>
  <w:style w:styleId="Style_41_ch" w:type="character">
    <w:name w:val="footer"/>
    <w:basedOn w:val="Style_5_ch"/>
    <w:link w:val="Style_41"/>
  </w:style>
  <w:style w:styleId="Style_42" w:type="paragraph">
    <w:name w:val="heading 2"/>
    <w:basedOn w:val="Style_5"/>
    <w:next w:val="Style_5"/>
    <w:link w:val="Style_42_ch"/>
    <w:uiPriority w:val="9"/>
    <w:qFormat/>
    <w:pPr>
      <w:keepNext w:val="1"/>
      <w:widowControl w:val="1"/>
      <w:spacing w:after="60" w:before="240"/>
      <w:ind/>
      <w:outlineLvl w:val="1"/>
    </w:pPr>
    <w:rPr>
      <w:rFonts w:ascii="Arial" w:hAnsi="Arial"/>
      <w:b w:val="1"/>
      <w:i w:val="1"/>
    </w:rPr>
  </w:style>
  <w:style w:styleId="Style_42_ch" w:type="character">
    <w:name w:val="heading 2"/>
    <w:basedOn w:val="Style_5_ch"/>
    <w:link w:val="Style_42"/>
    <w:rPr>
      <w:rFonts w:ascii="Arial" w:hAnsi="Arial"/>
      <w:b w:val="1"/>
      <w:i w:val="1"/>
    </w:r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4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2026-09-14T12:03:00Z</dcterms:created>
  <dcterms:modified xsi:type="dcterms:W3CDTF">2026-09-15T12:53:56Z</dcterms:modified>
</cp:coreProperties>
</file>