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spacing w:before="0" w:after="0"/>
        <w:tabs>
          <w:tab w:val="left" w:pos="2340" w:leader="none"/>
          <w:tab w:val="left" w:pos="4950" w:leader="none"/>
        </w:tabs>
      </w:pPr>
      <w:r>
        <w:rPr>
          <w:rFonts w:ascii="Times New Roman" w:hAnsi="Times New Roman"/>
          <w:b w:val="0"/>
          <w:bCs w:val="0"/>
          <w:color w:val="000000"/>
          <w:lang w:eastAsia="ru-RU"/>
        </w:rPr>
        <w:t xml:space="preserve">                                </w:t>
      </w:r>
      <w:r>
        <w:rPr>
          <w:rFonts w:ascii="Times New Roman" w:hAnsi="Times New Roman"/>
          <w:b w:val="0"/>
          <w:bCs w:val="0"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eastAsia="Calibri"/>
          <w:lang w:eastAsia="en-US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lang w:eastAsia="en-US"/>
        </w:rPr>
        <w:t xml:space="preserve">       </w:t>
      </w:r>
      <w:r/>
    </w:p>
    <w:p>
      <w:pPr>
        <w:pStyle w:val="872"/>
      </w:pPr>
      <w:r>
        <w:rPr>
          <w:rFonts w:ascii="Times New Roman" w:hAnsi="Times New Roman" w:cs="Times New Roman"/>
          <w:lang w:eastAsia="en-US"/>
        </w:rPr>
        <w:t xml:space="preserve">                                                                                                               </w:t>
      </w:r>
      <w:r/>
    </w:p>
    <w:p>
      <w:pPr>
        <w:pStyle w:val="873"/>
        <w:ind w:left="4956"/>
        <w:jc w:val="both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 к постановлению администрации </w:t>
      </w:r>
      <w:r/>
    </w:p>
    <w:p>
      <w:pPr>
        <w:pStyle w:val="873"/>
        <w:ind w:left="4956"/>
        <w:jc w:val="both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 муниципального образования </w:t>
      </w:r>
      <w:r/>
    </w:p>
    <w:p>
      <w:pPr>
        <w:pStyle w:val="873"/>
        <w:ind w:left="4956"/>
        <w:jc w:val="both"/>
        <w:spacing w:before="0" w:after="0"/>
      </w:pPr>
      <w:r>
        <w:rPr>
          <w:rFonts w:ascii="Times New Roman" w:hAnsi="Times New Roman"/>
          <w:b w:val="0"/>
          <w:sz w:val="28"/>
          <w:szCs w:val="28"/>
        </w:rPr>
        <w:t xml:space="preserve"> Ленинградский район </w:t>
      </w:r>
      <w:r/>
    </w:p>
    <w:p>
      <w:pPr>
        <w:pStyle w:val="872"/>
        <w:jc w:val="left"/>
        <w:spacing w:after="0"/>
        <w:tabs>
          <w:tab w:val="left" w:pos="2340" w:leader="none"/>
        </w:tabs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от 17.04.2024 №332</w:t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60"/>
        <w:gridCol w:w="4631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60" w:type="dxa"/>
            <w:vAlign w:val="top"/>
            <w:textDirection w:val="lrTb"/>
            <w:noWrap w:val="false"/>
          </w:tcPr>
          <w:p>
            <w:pPr>
              <w:pStyle w:val="873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31" w:type="dxa"/>
            <w:vAlign w:val="top"/>
            <w:textDirection w:val="lrTb"/>
            <w:noWrap w:val="false"/>
          </w:tcPr>
          <w:p>
            <w:pPr>
              <w:pStyle w:val="873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</w:r>
          </w:p>
          <w:p>
            <w:pPr>
              <w:pStyle w:val="873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«Приложение</w:t>
            </w:r>
            <w:r/>
          </w:p>
          <w:p>
            <w:pPr>
              <w:pStyle w:val="873"/>
              <w:jc w:val="both"/>
              <w:spacing w:before="0" w:after="0"/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</w:rPr>
              <w:t xml:space="preserve">к постановлению администрации     муниципального образования            Ленинградский район                       от 16.10.2020г. № 909</w:t>
            </w:r>
            <w:r/>
          </w:p>
          <w:p>
            <w:pPr>
              <w:pStyle w:val="872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60" w:type="dxa"/>
            <w:vAlign w:val="top"/>
            <w:textDirection w:val="lrTb"/>
            <w:noWrap w:val="false"/>
          </w:tcPr>
          <w:p>
            <w:pPr>
              <w:pStyle w:val="873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31" w:type="dxa"/>
            <w:vAlign w:val="top"/>
            <w:textDirection w:val="lrTb"/>
            <w:noWrap w:val="false"/>
          </w:tcPr>
          <w:p>
            <w:pPr>
              <w:pStyle w:val="873"/>
              <w:jc w:val="left"/>
              <w:spacing w:before="0" w:after="0"/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  <w:r>
              <w:rPr>
                <w:rFonts w:ascii="Times New Roman" w:hAnsi="Times New Roman"/>
                <w:b w:val="0"/>
                <w:color w:val="000000"/>
                <w:sz w:val="28"/>
                <w:szCs w:val="28"/>
                <w:u w:val="single"/>
              </w:rPr>
            </w:r>
          </w:p>
        </w:tc>
      </w:tr>
    </w:tbl>
    <w:p>
      <w:pPr>
        <w:pStyle w:val="872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872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872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872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</w:t>
      </w:r>
      <w:r/>
    </w:p>
    <w:p>
      <w:pPr>
        <w:pStyle w:val="872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</w:t>
      </w:r>
      <w:r/>
    </w:p>
    <w:p>
      <w:pPr>
        <w:pStyle w:val="872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Ленинградский район</w:t>
        <w:br w:type="textWrapping" w:clear="all"/>
        <w:t xml:space="preserve">«Развитие образования в муниципальном образовании </w:t>
      </w:r>
      <w:r/>
    </w:p>
    <w:p>
      <w:pPr>
        <w:pStyle w:val="872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район»</w:t>
      </w:r>
      <w:r/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W w:w="0" w:type="auto"/>
        <w:tblInd w:w="-34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742"/>
        <w:gridCol w:w="239"/>
        <w:gridCol w:w="5659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Ленинградский район </w:t>
            </w:r>
            <w:r/>
          </w:p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образования администрации муниципального образования Ленинградский район 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организации</w:t>
            </w:r>
            <w:r/>
          </w:p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целевые 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</w:t>
            </w:r>
            <w:r/>
          </w:p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предусмотрены</w:t>
            </w:r>
            <w:r/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72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высокого качества образования в соответствии с  меняющимися запросами населения муниципального образования Ленинградский район и перспективными задачами развития общества и экономики</w:t>
            </w:r>
            <w:r/>
          </w:p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72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</w:t>
            </w:r>
            <w:r/>
          </w:p>
          <w:p>
            <w:pPr>
              <w:pStyle w:val="872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развитие сети и инфраструктуры образовательных организаций, обеспечивающих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доступ населения муниципального образования Ленинградский район к качественным услугам дошкольного, общего образования и дополнительного образования детей;</w:t>
            </w:r>
            <w:r/>
          </w:p>
          <w:p>
            <w:pPr>
              <w:pStyle w:val="872"/>
              <w:jc w:val="both"/>
              <w:spacing w:after="0" w:line="240" w:lineRule="auto"/>
              <w:tabs>
                <w:tab w:val="left" w:pos="5715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развитие современных механизмов, содержания и технологий дошкольного, общего и дополнительного образования;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реализация мер  по популяризации среди детей и молодёжи научно-образовательной, творческой и спортивной деятельности, выявление талантливой молодёжи;</w:t>
            </w:r>
            <w:r/>
          </w:p>
          <w:p>
            <w:pPr>
              <w:pStyle w:val="872"/>
              <w:jc w:val="both"/>
              <w:spacing w:after="0" w:line="240" w:lineRule="auto"/>
              <w:tabs>
                <w:tab w:val="left" w:pos="5715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реализация мер по социальной поддержке отдельных категорий обучающихся;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формирование востребованной системы оценки качества образования и образовательных результатов;</w:t>
            </w:r>
            <w:r/>
          </w:p>
          <w:p>
            <w:pPr>
              <w:pStyle w:val="872"/>
              <w:jc w:val="both"/>
              <w:spacing w:after="0" w:line="240" w:lineRule="auto"/>
              <w:tabs>
                <w:tab w:val="left" w:pos="5715" w:leader="none"/>
              </w:tabs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обеспечение  отрасли образования высококвалифицированными кадрами;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создание механизмов мотивации педагогов к повышению качества работы и непрерывному профессиональному развитию.</w:t>
            </w:r>
            <w:r/>
          </w:p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/>
          </w:p>
          <w:p>
            <w:pPr>
              <w:pStyle w:val="872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целевых показателей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обучающихся по программам общего образования в общеобразовательных организациях;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охваченных образовательными программами дополнительного образования детей в возрасте от 5 до 18 лет;</w:t>
            </w:r>
            <w:r/>
          </w:p>
          <w:p>
            <w:pPr>
              <w:pStyle w:val="911"/>
              <w:ind w:right="95"/>
              <w:jc w:val="both"/>
              <w:tabs>
                <w:tab w:val="left" w:pos="2128" w:leader="none"/>
              </w:tabs>
            </w:pPr>
            <w:r>
              <w:rPr>
                <w:sz w:val="28"/>
                <w:szCs w:val="28"/>
              </w:rPr>
              <w:t xml:space="preserve">доля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детей,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которые</w:t>
            </w:r>
            <w:r>
              <w:rPr>
                <w:spacing w:val="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обеспечены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 xml:space="preserve">сертификатами</w:t>
            </w:r>
            <w:r>
              <w:rPr>
                <w:sz w:val="28"/>
                <w:szCs w:val="28"/>
              </w:rPr>
              <w:t xml:space="preserve"> персонифицированного</w:t>
            </w:r>
            <w:r>
              <w:rPr>
                <w:spacing w:val="-4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финансирования </w:t>
            </w:r>
            <w:r>
              <w:rPr>
                <w:spacing w:val="-3"/>
                <w:sz w:val="28"/>
                <w:szCs w:val="28"/>
              </w:rPr>
              <w:t xml:space="preserve">дополнительного </w:t>
            </w:r>
            <w:r>
              <w:rPr>
                <w:sz w:val="28"/>
                <w:szCs w:val="28"/>
              </w:rPr>
              <w:t xml:space="preserve">образования;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удельный вес численности учащихся общеобразовательных организаций, обучающихся в соответствии с федеральными государственными образовательными стандартами, в общей численности учащихся общеобразовательных организаций;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доля обучающихся образовательных организаций, участвующих в региональном этапе всероссийской олимпиады школьников;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среднего балла единого государственного экзамена (далее - ЕГЭ) 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(в расчёте на 1 предмет) в 10% общеобразовательных организаций  с лучшими результатами ЕГЭ к среднему баллу ЕГЭ (в расчёте на 1 предмет) в 10 общеобразовательных организациях с худшими результатами ЕГЭ;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численность педагогических работников дошкольных образовательных организаций;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численность работников общеобразовательных организаций;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среднемесячной заработной платы педагогических работников дошкольных образовательных организаций к среднемесячной заработной плате в сфере общего образования Краснодарского края;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среднемесячной  заработной платы педагогических работников общеобразовательных организаций  к среднемесячной заработной плате в Краснодарском крае;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отношение среднемесячной заработной платы педагогических работников организаций дополнительного образования  детей к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среднемесячной зарплате учителей в Краснодарском крае;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обучающихся, получающих социальную поддержку</w:t>
            </w: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.</w:t>
            </w:r>
            <w:r/>
          </w:p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72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программы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64" w:lineRule="auto"/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2021 - 2026 годы</w:t>
            </w:r>
            <w:r/>
          </w:p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2" w:type="dxa"/>
            <w:vAlign w:val="top"/>
            <w:textDirection w:val="lrTb"/>
            <w:noWrap w:val="false"/>
          </w:tcPr>
          <w:p>
            <w:pPr>
              <w:pStyle w:val="872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«Объемы бюджетных ассигнований муниципальной программы, всего, в том числе по годам и источникам финансирования</w: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659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финансового обеспечения программы за счёт всех источников составля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                  7 387 236,33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 в том числе: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краевого бюджета  4 529 726,69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637 838,30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722 345,10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787 473,59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822 957,50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854 726,90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704 385,30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муниципального бюджета                2 546 583,88 тысяч рублей, в том числе: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309 388,27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517 727,93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394 700,54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461 157,30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424 913,70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421 273,30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федерального бюджета 329 240,30 тысяч рублей, в том числе: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50 914,10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54 880,10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52 040,40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59 465,40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55 312,90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55 601,60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внебюджетных средств 134,10 тысяч рублей, в том числе: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134,10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0,00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0,00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0,00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0,00 тысяч рублей</w:t>
            </w:r>
            <w:r/>
          </w:p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0,00 тысяч рублей</w:t>
            </w:r>
            <w:r/>
          </w:p>
        </w:tc>
      </w:tr>
    </w:tbl>
    <w:p>
      <w:pPr>
        <w:pStyle w:val="872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2"/>
        <w:jc w:val="center"/>
        <w:spacing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1.Характеристика текущего состояния и прогноз развития образования Ленинградского района</w:t>
      </w:r>
      <w:r/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2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Система образования муниципального образования Ленинградский район насчитывает 50 о</w:t>
      </w:r>
      <w:r>
        <w:rPr>
          <w:rFonts w:ascii="Times New Roman" w:hAnsi="Times New Roman" w:cs="Times New Roman"/>
          <w:sz w:val="28"/>
          <w:szCs w:val="28"/>
        </w:rPr>
        <w:t xml:space="preserve">рганизаций дошкольного, общего и дополнительного образования. В образовательных организациях дошкольного и общего образования обучается и воспитывается 8572 ребенка, в организациях дополнительного образования (ДЮЦ, СЮТ, ДЮСШ, ЛУЦ) занимается 3463  человек.</w:t>
      </w:r>
      <w:r>
        <w:rPr>
          <w:color w:val="000000"/>
          <w:sz w:val="28"/>
          <w:szCs w:val="28"/>
        </w:rPr>
        <w:tab/>
      </w:r>
      <w:r/>
    </w:p>
    <w:p>
      <w:pPr>
        <w:pStyle w:val="872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Действующая сеть образовательных организаций в основном удовлетворяет потребности населения муниципального образования.</w:t>
      </w:r>
      <w:r/>
    </w:p>
    <w:p>
      <w:pPr>
        <w:pStyle w:val="872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Определяющее влияние на развитие дошкольного, общего и дополнител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ьного образования оказывают демографические тенденции и миграционные процессы, в связи с чем наблюдается снижение воспитанников в детских садах с 2479 человек в 2020 году до 2159 человек в 2023 году, в школах с 6535 человек в 2022 году до 6413 в 2023 году.</w:t>
      </w:r>
      <w:r/>
    </w:p>
    <w:p>
      <w:pPr>
        <w:pStyle w:val="872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Охват детей дошкольным образованием составляет 100%. Дети, не обеспеченные местом в детском саду, отсутствуют, имеются свободные места.</w:t>
      </w:r>
      <w:r/>
    </w:p>
    <w:p>
      <w:pPr>
        <w:pStyle w:val="872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нового качества дошкольного образования детей предполагае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 повышение престижа педагогических работников дошкольных образовательных организаций. Наблюдается увеличение заработной платы педагогических работников дошкольных образовательных организаций, с 2020 года она увеличилась на 1403 рубля 5 копеек (таблица 1).</w:t>
      </w:r>
      <w:r/>
    </w:p>
    <w:p>
      <w:pPr>
        <w:pStyle w:val="872"/>
        <w:ind w:firstLine="709"/>
        <w:jc w:val="right"/>
        <w:spacing w:after="0" w:line="24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72"/>
        <w:ind w:firstLine="709"/>
        <w:jc w:val="right"/>
        <w:spacing w:after="0" w:line="240" w:lineRule="auto"/>
        <w:shd w:val="clear" w:color="ffffff" w:themeColor="background1" w:fill="ffffff" w:themeFill="background1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Таблица 1</w:t>
      </w:r>
      <w:r>
        <w:rPr>
          <w:highlight w:val="white"/>
        </w:rPr>
      </w:r>
      <w:r>
        <w:rPr>
          <w:highlight w:val="white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61"/>
        <w:gridCol w:w="1355"/>
        <w:gridCol w:w="1467"/>
        <w:gridCol w:w="1227"/>
        <w:gridCol w:w="1185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61" w:type="dxa"/>
            <w:vAlign w:val="top"/>
            <w:vMerge w:val="restart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Средний уровень заработной платы педагогических работников дошкольных образовательных организаций, руб.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2020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7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2021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2022 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  <w:shd w:val="clear" w:color="auto" w:fill="eeeeee"/>
              </w:rPr>
              <w:t xml:space="preserve">2023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61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right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5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30854,89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7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32230,96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</w:rPr>
              <w:t xml:space="preserve">32257,94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shd w:val="clear" w:color="auto" w:fill="ffff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5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  <w:shd w:val="clear" w:color="ffffff" w:themeColor="background1" w:fill="ffffff" w:themeFill="background1"/>
              <w:rPr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  <w:highlight w:val="white"/>
                <w:shd w:val="clear" w:color="auto" w:fill="eeeeee"/>
              </w:rPr>
              <w:t xml:space="preserve">41 507,57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872"/>
        <w:jc w:val="both"/>
        <w:spacing w:after="0" w:line="240" w:lineRule="auto"/>
        <w:shd w:val="clear" w:color="ffffff" w:themeColor="background1" w:fill="ffffff" w:themeFill="background1"/>
        <w:rPr>
          <w:highlight w:val="white"/>
        </w:rPr>
      </w:pPr>
      <w:r>
        <w:rPr>
          <w:rFonts w:ascii="Times New Roman" w:hAnsi="Times New Roman" w:cs="Times New Roman"/>
          <w:color w:val="000000"/>
          <w:sz w:val="20"/>
          <w:szCs w:val="20"/>
          <w:highlight w:val="white"/>
        </w:rPr>
        <w:t xml:space="preserve">            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Уровень заработной платы педагогических работников дошкольных образовательных организаций составляет 104 % от уровня средней заработной платы в сфере общего образования.</w:t>
      </w:r>
      <w:r>
        <w:rPr>
          <w:highlight w:val="white"/>
        </w:rPr>
      </w:r>
      <w:r>
        <w:rPr>
          <w:highlight w:val="white"/>
        </w:rPr>
      </w:r>
    </w:p>
    <w:p>
      <w:pPr>
        <w:pStyle w:val="872"/>
        <w:ind w:firstLine="709"/>
        <w:jc w:val="both"/>
        <w:spacing w:after="0" w:line="240" w:lineRule="auto"/>
        <w:shd w:val="clear" w:color="ffffff" w:themeColor="background1" w:fill="ffffff" w:themeFill="background1"/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Количество обучающихся в общеобразовательных организациях с 2020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года составило: (таблица 2).</w:t>
      </w:r>
      <w:r/>
    </w:p>
    <w:p>
      <w:pPr>
        <w:pStyle w:val="872"/>
        <w:ind w:firstLine="709"/>
        <w:jc w:val="right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2</w:t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80"/>
        <w:gridCol w:w="1207"/>
        <w:gridCol w:w="1208"/>
        <w:gridCol w:w="1089"/>
        <w:gridCol w:w="1013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80" w:type="dxa"/>
            <w:vAlign w:val="top"/>
            <w:vMerge w:val="restart"/>
            <w:textDirection w:val="lrTb"/>
            <w:noWrap w:val="false"/>
          </w:tcPr>
          <w:p>
            <w:pPr>
              <w:pStyle w:val="872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Численность обучающихся в дневных общеобразовательных организациях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7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9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80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7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6383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8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6476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89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6535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3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6413</w:t>
            </w:r>
            <w:r/>
          </w:p>
        </w:tc>
      </w:tr>
    </w:tbl>
    <w:p>
      <w:pPr>
        <w:pStyle w:val="872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1 сентября 2022 года все общеобразовательные организации учатся в одну смену.</w:t>
      </w:r>
      <w:r/>
    </w:p>
    <w:p>
      <w:pPr>
        <w:pStyle w:val="872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 1 сентября 2022 года учащиеся 1-х , 5-х классов перешли на обучение по обновленным стандартам третьего поколения. С 1 сентября 2023 года обучающиеся 1-6 – х, 10 – х классов перешли на обучение  по федеральной образовательной программе.</w:t>
      </w:r>
      <w:r/>
    </w:p>
    <w:p>
      <w:pPr>
        <w:pStyle w:val="872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этого в общеобразовательных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организациях созданы соответствующие условия: материально-технические, путём обновления учебников и учебно-методических пособий, кадровые - осуществление педагогическими работниками курсовой подготовки, финансовые, методические и психолого-педагогические.</w:t>
      </w:r>
      <w:r/>
    </w:p>
    <w:p>
      <w:pPr>
        <w:pStyle w:val="872"/>
        <w:jc w:val="both"/>
        <w:spacing w:after="0" w:line="240" w:lineRule="auto"/>
        <w:tabs>
          <w:tab w:val="left" w:pos="87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Наблюдается положительная динамика сдачи выпускниками единого го</w:t>
      </w:r>
      <w:r>
        <w:rPr>
          <w:rFonts w:ascii="Times New Roman" w:hAnsi="Times New Roman" w:cs="Times New Roman"/>
          <w:sz w:val="28"/>
          <w:szCs w:val="28"/>
        </w:rPr>
        <w:t xml:space="preserve">сударственного экзамена по русскому языку, результаты превышают среднекраевые и среднероссийские показатели, по математике результаты двух прошедших лет превышают среднекраевые и среднероссийские. В 2022 году результат ЕГЭ по математике в районе ниже показ</w:t>
      </w:r>
      <w:r>
        <w:rPr>
          <w:rFonts w:ascii="Times New Roman" w:hAnsi="Times New Roman" w:cs="Times New Roman"/>
          <w:sz w:val="28"/>
          <w:szCs w:val="28"/>
        </w:rPr>
        <w:t xml:space="preserve">ателя среднекраевого, но выше среднероссийского. Необходимо повышение профессионального мастерства учителей математики через курсовую подготовку, проведение методических мероприятий с выполнением педагогами практической части заданий ОГЭ и ЕГЭ (таблица 3).</w:t>
      </w:r>
      <w:r/>
    </w:p>
    <w:p>
      <w:pPr>
        <w:pStyle w:val="872"/>
        <w:jc w:val="right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Таблица 3</w:t>
      </w:r>
      <w:r/>
    </w:p>
    <w:p>
      <w:pPr>
        <w:pStyle w:val="872"/>
        <w:jc w:val="right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26"/>
        <w:gridCol w:w="919"/>
        <w:gridCol w:w="1276"/>
        <w:gridCol w:w="1134"/>
        <w:gridCol w:w="992"/>
      </w:tblGrid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vMerge w:val="restart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Средний балл ЕГЭ по русскому языку выпускников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>
          <w:trHeight w:val="14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74,2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76,4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71,5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72,1</w:t>
            </w:r>
            <w:r/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Среднекраевой балл по русскому языку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73,6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71,1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71,1</w:t>
            </w:r>
            <w:r/>
          </w:p>
        </w:tc>
      </w:tr>
      <w:tr>
        <w:tblPrEx/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Общероссийский балл по русскому языку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68,43</w:t>
            </w:r>
            <w:r/>
          </w:p>
        </w:tc>
      </w:tr>
      <w:tr>
        <w:tblPrEx/>
        <w:trPr>
          <w:trHeight w:val="5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Средний балл ЕГЭ по математике выпускников общеобразовательных организаций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rFonts w:ascii="Times New Roman" w:hAnsi="Times New Roman" w:cs="Times New Roman"/>
              </w:rPr>
              <w:t xml:space="preserve">57,1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rFonts w:ascii="Times New Roman" w:hAnsi="Times New Roman" w:cs="Times New Roman"/>
              </w:rPr>
              <w:t xml:space="preserve">60,3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rFonts w:ascii="Times New Roman" w:hAnsi="Times New Roman" w:cs="Times New Roman"/>
              </w:rPr>
              <w:t xml:space="preserve">58,5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rFonts w:ascii="Times New Roman" w:hAnsi="Times New Roman" w:cs="Times New Roman"/>
              </w:rPr>
              <w:t xml:space="preserve">58</w:t>
            </w:r>
            <w:r/>
          </w:p>
        </w:tc>
      </w:tr>
      <w:tr>
        <w:tblPrEx/>
        <w:trPr>
          <w:trHeight w:val="4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Среднекраевой балл по математике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rFonts w:ascii="Times New Roman" w:hAnsi="Times New Roman" w:cs="Times New Roman"/>
              </w:rPr>
              <w:t xml:space="preserve">56,9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rFonts w:ascii="Times New Roman" w:hAnsi="Times New Roman" w:cs="Times New Roman"/>
              </w:rPr>
              <w:t xml:space="preserve">58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rFonts w:ascii="Times New Roman" w:hAnsi="Times New Roman" w:cs="Times New Roman"/>
              </w:rPr>
              <w:t xml:space="preserve">59,4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98"/>
              <w:jc w:val="center"/>
            </w:pPr>
            <w:r>
              <w:rPr>
                <w:rFonts w:ascii="Times New Roman" w:hAnsi="Times New Roman" w:cs="Times New Roman"/>
              </w:rPr>
              <w:t xml:space="preserve">55,6</w:t>
            </w:r>
            <w:r/>
          </w:p>
        </w:tc>
      </w:tr>
      <w:tr>
        <w:tblPrEx/>
        <w:trPr>
          <w:trHeight w:val="29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26" w:type="dxa"/>
            <w:vAlign w:val="top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Общероссийский балл по математике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9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54,2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55,1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56,9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</w:rPr>
              <w:t xml:space="preserve">55,6</w:t>
            </w:r>
            <w:r/>
          </w:p>
        </w:tc>
      </w:tr>
    </w:tbl>
    <w:p>
      <w:pPr>
        <w:pStyle w:val="872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2"/>
        <w:jc w:val="both"/>
        <w:spacing w:after="0" w:line="240" w:lineRule="auto"/>
        <w:tabs>
          <w:tab w:val="left" w:pos="675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Все пункты проведения единого государственного экзамена обеспечены системой видеонаблюдения в режиме онлайн, основного государственного экзамена - офлайн.</w:t>
      </w:r>
      <w:r/>
    </w:p>
    <w:p>
      <w:pPr>
        <w:pStyle w:val="872"/>
        <w:jc w:val="both"/>
        <w:spacing w:after="0" w:line="240" w:lineRule="auto"/>
        <w:tabs>
          <w:tab w:val="left" w:pos="675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В связи с усилением требований к процедуре проведения государственной итоговой аттестации, санитарных правил и норм в форме основного государственного экзамена в 9 классе и государственного выпускного экзамена в 9 и 11 классах необходимо оборудовать</w:t>
      </w:r>
      <w:r>
        <w:rPr>
          <w:rFonts w:ascii="Times New Roman" w:hAnsi="Times New Roman" w:cs="Times New Roman"/>
          <w:sz w:val="28"/>
          <w:szCs w:val="28"/>
        </w:rPr>
        <w:t xml:space="preserve"> сплит-системами все пункты проведения ОГЭ и ГВЭ на базе общеобразовательных организаций № 2, 6, 13, приобрести новое технологическое оборудование (МФУ, ноутбуки) для организации печати контрольно-измерительных материалов в аудиториях проведения экзаменов.</w:t>
      </w:r>
      <w:r/>
    </w:p>
    <w:p>
      <w:pPr>
        <w:pStyle w:val="872"/>
        <w:jc w:val="both"/>
        <w:spacing w:after="0" w:line="240" w:lineRule="auto"/>
        <w:tabs>
          <w:tab w:val="left" w:pos="81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В общеобразовательных организациях имеется доступ к сети Интернет.</w:t>
      </w:r>
      <w:r/>
    </w:p>
    <w:p>
      <w:pPr>
        <w:pStyle w:val="872"/>
        <w:jc w:val="both"/>
        <w:spacing w:after="0" w:line="240" w:lineRule="auto"/>
        <w:tabs>
          <w:tab w:val="left" w:pos="735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Однако, в ряде общеобразовательных органи</w:t>
      </w:r>
      <w:r>
        <w:rPr>
          <w:rFonts w:ascii="Times New Roman" w:hAnsi="Times New Roman" w:cs="Times New Roman"/>
          <w:sz w:val="28"/>
          <w:szCs w:val="28"/>
        </w:rPr>
        <w:t xml:space="preserve">заций скорость доступа к сети Интернет составляет 128 Кбит/с, что не позволяет широко использовать информационные технологии в преподавании и управлении. Требуется увеличение доступа к сети Интернет с максимальной скоростью передачи данных 1 Мбит/с и выше.</w:t>
      </w:r>
      <w:r/>
    </w:p>
    <w:p>
      <w:pPr>
        <w:pStyle w:val="872"/>
        <w:ind w:firstLine="708"/>
        <w:jc w:val="both"/>
        <w:spacing w:after="0" w:line="240" w:lineRule="auto"/>
        <w:tabs>
          <w:tab w:val="left" w:pos="73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Учащиеся из 16 общеобразовательных организаций находятся на подвозе. В настоящее время подвоз обучающихся осуществляется 22 единицами транспорта, парк школьных автобусов пополняется (таблица 4).</w:t>
      </w:r>
      <w:r/>
    </w:p>
    <w:p>
      <w:pPr>
        <w:pStyle w:val="872"/>
        <w:ind w:firstLine="708"/>
        <w:jc w:val="right"/>
        <w:spacing w:after="0" w:line="240" w:lineRule="auto"/>
        <w:tabs>
          <w:tab w:val="left" w:pos="73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Таблица 4</w:t>
      </w:r>
      <w:r/>
    </w:p>
    <w:p>
      <w:pPr>
        <w:pStyle w:val="872"/>
        <w:ind w:firstLine="708"/>
        <w:jc w:val="right"/>
        <w:spacing w:after="0" w:line="240" w:lineRule="auto"/>
        <w:tabs>
          <w:tab w:val="left" w:pos="735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85"/>
        <w:gridCol w:w="1835"/>
        <w:gridCol w:w="1771"/>
        <w:gridCol w:w="1450"/>
        <w:gridCol w:w="135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5" w:type="dxa"/>
            <w:vAlign w:val="top"/>
            <w:vMerge w:val="restart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приобретённых автобусов для перевозки обучающихся, ед.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5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1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0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85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5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  <w:tabs>
                <w:tab w:val="left" w:pos="390" w:leader="none"/>
                <w:tab w:val="center" w:pos="1045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1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0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56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</w:t>
            </w:r>
            <w:r/>
          </w:p>
        </w:tc>
      </w:tr>
    </w:tbl>
    <w:p>
      <w:pPr>
        <w:pStyle w:val="872"/>
        <w:jc w:val="center"/>
        <w:spacing w:after="0" w:line="240" w:lineRule="auto"/>
        <w:tabs>
          <w:tab w:val="left" w:pos="705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72"/>
        <w:jc w:val="both"/>
        <w:spacing w:after="0" w:line="240" w:lineRule="auto"/>
        <w:tabs>
          <w:tab w:val="left" w:pos="705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Вместе с тем, в связи с завершением срока эксплуатации школьных автобусов (более 10 лет) в целях обеспечения безопасного подвоза обучающихся к месту учёбы в период с 2024 по 2025 годы необходимо заменить 1 автобус (для МАОУ СОШ № 2).</w:t>
      </w:r>
      <w:r/>
    </w:p>
    <w:p>
      <w:pPr>
        <w:pStyle w:val="872"/>
        <w:jc w:val="both"/>
        <w:spacing w:after="0" w:line="240" w:lineRule="auto"/>
        <w:tabs>
          <w:tab w:val="left" w:pos="705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Важное место в системе образования района занимает дополнительное образование. Количество организаций дополнительного образования составляет 4.  </w:t>
      </w:r>
      <w:r/>
    </w:p>
    <w:p>
      <w:pPr>
        <w:pStyle w:val="872"/>
        <w:jc w:val="both"/>
        <w:spacing w:after="0" w:line="240" w:lineRule="auto"/>
        <w:tabs>
          <w:tab w:val="left" w:pos="705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Среднесписочный состав педагогических работников в организациях дополнительного образования в 2023 году составило 47 человек (таблица 5).</w:t>
      </w:r>
      <w:r/>
    </w:p>
    <w:p>
      <w:pPr>
        <w:pStyle w:val="872"/>
        <w:jc w:val="right"/>
        <w:spacing w:after="0" w:line="240" w:lineRule="auto"/>
        <w:tabs>
          <w:tab w:val="left" w:pos="70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jc w:val="right"/>
        <w:spacing w:after="0" w:line="240" w:lineRule="auto"/>
        <w:tabs>
          <w:tab w:val="left" w:pos="70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jc w:val="right"/>
        <w:spacing w:after="0" w:line="240" w:lineRule="auto"/>
        <w:tabs>
          <w:tab w:val="left" w:pos="70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Таблица 5</w:t>
      </w:r>
      <w:r/>
    </w:p>
    <w:p>
      <w:pPr>
        <w:pStyle w:val="872"/>
        <w:jc w:val="right"/>
        <w:spacing w:after="0" w:line="240" w:lineRule="auto"/>
        <w:tabs>
          <w:tab w:val="left" w:pos="705" w:leader="none"/>
        </w:tabs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  <w:highlight w:val="yellow"/>
        </w:rPr>
      </w:r>
      <w:r>
        <w:rPr>
          <w:rFonts w:ascii="Times New Roman" w:hAnsi="Times New Roman" w:cs="Times New Roman"/>
          <w:sz w:val="20"/>
          <w:szCs w:val="20"/>
          <w:highlight w:val="yellow"/>
        </w:rPr>
      </w:r>
      <w:r>
        <w:rPr>
          <w:rFonts w:ascii="Times New Roman" w:hAnsi="Times New Roman" w:cs="Times New Roman"/>
          <w:sz w:val="20"/>
          <w:szCs w:val="20"/>
          <w:highlight w:val="yellow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145"/>
        <w:gridCol w:w="1189"/>
        <w:gridCol w:w="1159"/>
        <w:gridCol w:w="1158"/>
        <w:gridCol w:w="1158"/>
      </w:tblGrid>
      <w:tr>
        <w:tblPrEx/>
        <w:trPr>
          <w:trHeight w:val="24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5" w:type="dxa"/>
            <w:vAlign w:val="top"/>
            <w:vMerge w:val="restart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педагогических работников в организациях дополнительного образования, чел.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8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8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>
          <w:trHeight w:val="1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45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57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53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8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47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8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47</w:t>
            </w:r>
            <w:r/>
          </w:p>
        </w:tc>
      </w:tr>
    </w:tbl>
    <w:p>
      <w:pPr>
        <w:pStyle w:val="872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ab/>
        <w:t xml:space="preserve">Продолжает развиваться новое направление в дополнительном образовании -  робототехника, наиболее активно оно реализуется в МБОДО «Станция юных техников».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Однако требуется укрепление материально-технической базы организаций дополнительного образования, наиболее остро это касается реализации программы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ранней профориентации и основ профессиональной подготовки школьников «ЮниорПрофи»,</w:t>
      </w:r>
      <w:r>
        <w:rPr>
          <w:rFonts w:ascii="Times New Roman" w:hAnsi="Times New Roman" w:cs="Times New Roman"/>
          <w:sz w:val="28"/>
          <w:szCs w:val="28"/>
        </w:rPr>
        <w:t xml:space="preserve"> требуется создание условий для развития естественнонаучного направления, детско-юношеского туризма.</w:t>
      </w:r>
      <w:r/>
    </w:p>
    <w:p>
      <w:pPr>
        <w:pStyle w:val="872"/>
        <w:ind w:firstLine="708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Наблюдается увеличение численности учащихся и воспитанников, занятых в организациях дополнительного образования (таблица 6).</w:t>
      </w:r>
      <w:r/>
    </w:p>
    <w:p>
      <w:pPr>
        <w:pStyle w:val="872"/>
        <w:ind w:firstLine="708"/>
        <w:jc w:val="right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Таблица 6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  <w:r>
        <w:rPr>
          <w:rFonts w:ascii="Times New Roman" w:hAnsi="Times New Roman" w:cs="Times New Roman"/>
          <w:color w:val="000000"/>
          <w:sz w:val="20"/>
          <w:szCs w:val="20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84"/>
        <w:gridCol w:w="1144"/>
        <w:gridCol w:w="1193"/>
        <w:gridCol w:w="1072"/>
        <w:gridCol w:w="1004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4" w:type="dxa"/>
            <w:vAlign w:val="top"/>
            <w:vMerge w:val="restart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Численность школьников, охваченных системой дополнительного образования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3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84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4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5668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3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5991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6176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4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6938</w:t>
            </w:r>
            <w:r/>
          </w:p>
        </w:tc>
      </w:tr>
    </w:tbl>
    <w:p>
      <w:pPr>
        <w:pStyle w:val="872"/>
        <w:jc w:val="both"/>
        <w:spacing w:after="0" w:line="240" w:lineRule="auto"/>
        <w:tabs>
          <w:tab w:val="left" w:pos="750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72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В общеобразовательных организация</w:t>
      </w:r>
      <w:r>
        <w:rPr>
          <w:rFonts w:ascii="Times New Roman" w:hAnsi="Times New Roman" w:cs="Times New Roman"/>
          <w:sz w:val="28"/>
          <w:szCs w:val="28"/>
        </w:rPr>
        <w:t xml:space="preserve">х реализуются адаптированные образовательные программы для детей с ограниченными возможностями, работают коррекционные классы для учащихся с задержкой психического развития и для учащихся с умственной отсталостью на базе школ № 2, 3, 4, 5, 6, 7, 8, 11, 12.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Требуется оснащение современным оборудованием кабинетов СБО (социально-бытовой ориентировки), технологии.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МБОУ СОШ № 1 является базовой по организации дистанционного обучения (таблица 7).</w:t>
      </w:r>
      <w:r/>
    </w:p>
    <w:p>
      <w:pPr>
        <w:pStyle w:val="872"/>
        <w:jc w:val="right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Таблица 7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99"/>
        <w:gridCol w:w="1146"/>
        <w:gridCol w:w="1073"/>
        <w:gridCol w:w="1073"/>
        <w:gridCol w:w="1006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9" w:type="dxa"/>
            <w:vAlign w:val="top"/>
            <w:vMerge w:val="restart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Численность обучающихся, охваченных дистанционным образованием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6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3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3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2023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99" w:type="dxa"/>
            <w:vAlign w:val="top"/>
            <w:vMerge w:val="continue"/>
            <w:textDirection w:val="lrTb"/>
            <w:noWrap w:val="false"/>
          </w:tcPr>
          <w:p>
            <w:pPr>
              <w:pStyle w:val="872"/>
              <w:jc w:val="both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6" w:type="dxa"/>
            <w:vAlign w:val="top"/>
            <w:textDirection w:val="lrTb"/>
            <w:noWrap w:val="false"/>
          </w:tcPr>
          <w:p>
            <w:pPr>
              <w:pStyle w:val="872"/>
              <w:jc w:val="center"/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3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3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" w:type="dxa"/>
            <w:vAlign w:val="top"/>
            <w:textDirection w:val="lrTb"/>
            <w:noWrap w:val="false"/>
          </w:tcPr>
          <w:p>
            <w:pPr>
              <w:pStyle w:val="872"/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15</w:t>
            </w:r>
            <w:r/>
          </w:p>
        </w:tc>
      </w:tr>
    </w:tbl>
    <w:p>
      <w:pPr>
        <w:pStyle w:val="872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Большинство образовательных организаций имеют инфраструктуру, соответствующую современным требованиям. Все общеобразовательные организации имеют медицинские кабинеты, оснащены оборудованием и лицензированы, тёплые туалеты.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Горячим питанием охвачено 97% обучающихся.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Необходим капитальный ремонт пищеблоков общеобразовательных организаций 2, 3, 4, 6, 8, замена технологического оборудования на пищеблоках образовательных организаций.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Капитально отремонтировано 20 спортивных залов, что от общего количества спортивных залов составляет 100%.</w:t>
      </w:r>
      <w:r/>
    </w:p>
    <w:p>
      <w:pPr>
        <w:pStyle w:val="872"/>
        <w:ind w:left="6"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2023 году из 14 решений судов выполнены полностью – 10                              </w:t>
      </w:r>
      <w:r/>
    </w:p>
    <w:p>
      <w:pPr>
        <w:pStyle w:val="872"/>
        <w:contextualSpacing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Выполнены частично – 1 </w:t>
      </w:r>
      <w:r/>
    </w:p>
    <w:p>
      <w:pPr>
        <w:pStyle w:val="872"/>
        <w:contextualSpacing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выполнены – 3.</w:t>
      </w:r>
      <w:r/>
    </w:p>
    <w:p>
      <w:pPr>
        <w:pStyle w:val="872"/>
        <w:contextualSpacing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 46 предписаний надзорных органов выполнены полностью – 23, выполнены частично – 23.</w:t>
      </w:r>
      <w:r/>
    </w:p>
    <w:p>
      <w:pPr>
        <w:pStyle w:val="872"/>
        <w:contextualSpacing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Сумма средств, направленных из муниципального бюджета на выполнение данных мероприятий составила 23 млн.899 тыс.руб.</w:t>
      </w:r>
      <w:r/>
    </w:p>
    <w:p>
      <w:pPr>
        <w:pStyle w:val="872"/>
        <w:ind w:firstLine="708"/>
        <w:jc w:val="both"/>
        <w:spacing w:after="0" w:line="240" w:lineRule="auto"/>
        <w:widowControl w:val="off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Велась работа по з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амене оконных и дверных блоков. За счет средств Законодательного собрания Краснодарского края в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СОШ № 16 выполнены работы на сумму 4 990 000,00 руб.</w:t>
      </w:r>
      <w:r/>
    </w:p>
    <w:p>
      <w:pPr>
        <w:pStyle w:val="872"/>
        <w:contextualSpacing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ab/>
        <w:t xml:space="preserve">За счет средств муниципального бюджета выполнены работы в 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ДОУ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№ 19  на сумму 2100 003  руб.; СОШ № 4 на сумму 397 300 руб.; ДОУ № 22 на сумму 176 300  руб.;</w:t>
      </w:r>
      <w:r>
        <w:rPr>
          <w:rFonts w:ascii="Times New Roman" w:hAnsi="Times New Roman" w:eastAsia="Calibri" w:cs="Times New Roman"/>
          <w:color w:val="00000a"/>
          <w:sz w:val="28"/>
          <w:szCs w:val="28"/>
          <w:lang w:eastAsia="ru-RU"/>
        </w:rPr>
        <w:t xml:space="preserve"> ДОУ № 27 на сумму 330 000 руб.; СОШ № 13 на сумму 684 950 руб.</w:t>
      </w:r>
      <w:r/>
    </w:p>
    <w:p>
      <w:pPr>
        <w:pStyle w:val="872"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Работы по благоустройству территории:</w:t>
      </w:r>
      <w:r/>
    </w:p>
    <w:p>
      <w:pPr>
        <w:pStyle w:val="872"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в ДОУ № 8 на сумму 6 650 000,00 руб., из них: 5 000 000,00 руб. средства Законодательного Собрания Краснодарского края и 1 650 000,00 руб. средства муниципального бюджета, а также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отремонтированы входные ступени и лестничные ограждения на сумму 670 000 руб. за счет муниципальных средств. </w:t>
      </w:r>
      <w:r/>
    </w:p>
    <w:p>
      <w:pPr>
        <w:pStyle w:val="872"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в ДОУ № 19 выполнен ремонт отмостки и входных ступеней на сумму 240 700 руб., а также благоустройство территории на сумму  1 949 740, 00 руб. за счет муниципальных средств.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устранение нарушений требований антитеррористической защищенности из местного бюджета  выделены денежные средства в размере 12 173,3 тыс. руб.: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дооборудована система наружного освещения территорий образовательных организаций 11 102 110 руб.;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дооборудована система видеонаблюдения 405 тыс. руб.;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оснащение объектов образовательных организаций стационарными КТС 341,3 руб.;</w:t>
      </w:r>
      <w:r/>
    </w:p>
    <w:p>
      <w:pPr>
        <w:pStyle w:val="872"/>
        <w:contextualSpacing/>
        <w:jc w:val="both"/>
        <w:spacing w:after="0" w:line="240" w:lineRule="auto"/>
        <w:tabs>
          <w:tab w:val="left" w:pos="0" w:leader="none"/>
        </w:tabs>
      </w:pPr>
      <w:r>
        <w:rPr>
          <w:rFonts w:cs="Times New Roman"/>
          <w:sz w:val="28"/>
          <w:szCs w:val="28"/>
          <w:lang w:eastAsia="ru-RU"/>
        </w:rPr>
        <w:tab/>
        <w:t xml:space="preserve">- р</w:t>
      </w:r>
      <w:r>
        <w:rPr>
          <w:rFonts w:ascii="Times New Roman" w:hAnsi="Times New Roman" w:cs="Times New Roman"/>
          <w:color w:val="00000a"/>
          <w:sz w:val="28"/>
          <w:szCs w:val="28"/>
          <w:shd w:val="clear" w:color="auto" w:fill="ffffff"/>
          <w:lang w:eastAsia="ru-RU"/>
        </w:rPr>
        <w:t xml:space="preserve">емонт ограждения в ДОУ № 2  на сумму 275 600 руб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.;</w:t>
      </w:r>
      <w:r/>
    </w:p>
    <w:p>
      <w:pPr>
        <w:pStyle w:val="872"/>
        <w:contextualSpacing/>
        <w:jc w:val="both"/>
        <w:spacing w:after="0" w:line="240" w:lineRule="auto"/>
        <w:widowControl w:val="off"/>
        <w:tabs>
          <w:tab w:val="left" w:pos="708" w:leader="none"/>
        </w:tabs>
      </w:pPr>
      <w:r>
        <w:rPr>
          <w:rFonts w:ascii="Times New Roman" w:hAnsi="Times New Roman" w:eastAsia="Calibri" w:cs="Times New Roman"/>
          <w:color w:val="00000a"/>
          <w:sz w:val="28"/>
          <w:szCs w:val="28"/>
          <w:lang w:eastAsia="ru-RU"/>
        </w:rPr>
        <w:tab/>
        <w:t xml:space="preserve">- ремонт запасного входа здания  СОШ № 2 на сумму 200 000 руб. 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установка ворот, обеспечивающих жесткую фиксацию 295 тыс. руб.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устранение требований пожарной безопасности  из муниципального  бюджета выделено 10 482,7 тыс. руб., а именно: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приведение полов на путях эвакуации в соответствии с требованиями регламента – 9 704,22 тыс. руб.;</w:t>
      </w:r>
      <w:r/>
    </w:p>
    <w:p>
      <w:pPr>
        <w:pStyle w:val="872"/>
        <w:contextualSpacing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- модернизация АПС – 2 164 900 руб.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огнезащитная обработка деревянных конструкций кровли 88,56 тыс. руб.;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установка противопожарной двери – 25 тыс. руб.</w:t>
      </w:r>
      <w:r/>
    </w:p>
    <w:p>
      <w:pPr>
        <w:pStyle w:val="872"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 течение 2023 года за счет муниципальных средств проводились текущие ремонтные работы, приобреталось оборудование.</w:t>
      </w:r>
      <w:r/>
    </w:p>
    <w:p>
      <w:pPr>
        <w:pStyle w:val="872"/>
        <w:contextualSpacing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Выполнен ремонт санитарных комнат в СОШ № 12, на сумму                      1693 342,04 руб., в </w:t>
      </w:r>
      <w:r>
        <w:rPr>
          <w:rFonts w:ascii="Times New Roman" w:hAnsi="Times New Roman" w:eastAsia="Calibri" w:cs="Times New Roman"/>
          <w:color w:val="00000a"/>
          <w:sz w:val="28"/>
          <w:szCs w:val="28"/>
          <w:lang w:eastAsia="ru-RU"/>
        </w:rPr>
        <w:t xml:space="preserve">СЮТ на сумму 399 120 руб.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Приобретено </w:t>
      </w:r>
      <w:r>
        <w:rPr>
          <w:rFonts w:ascii="Times New Roman" w:hAnsi="Times New Roman" w:eastAsia="Arial" w:cs="Times New Roman"/>
          <w:bCs/>
          <w:sz w:val="28"/>
          <w:szCs w:val="28"/>
          <w:shd w:val="clear" w:color="auto" w:fill="ffffff"/>
          <w:lang w:eastAsia="ru-RU"/>
        </w:rPr>
        <w:t xml:space="preserve">оборудование, мебель, кухонная утварь, посуда  для столовых и пищеблоков образовательных учреждений  (СОШ № 2, 3, 4, 16, ДОУ № 2, 3, 5, 7, 12, 15, 16, 18, 20, 21, 22, 28, 30, 33)   на сумму </w:t>
      </w:r>
      <w:r>
        <w:rPr>
          <w:rFonts w:ascii="Times New Roman" w:hAnsi="Times New Roman" w:eastAsia="Arial" w:cs="Times New Roman"/>
          <w:sz w:val="28"/>
          <w:szCs w:val="28"/>
          <w:shd w:val="clear" w:color="auto" w:fill="ffffff"/>
          <w:lang w:eastAsia="ru-RU"/>
        </w:rPr>
        <w:t xml:space="preserve">2 700 595,00  руб.</w:t>
      </w:r>
      <w:r>
        <w:rPr>
          <w:rFonts w:ascii="Times New Roman" w:hAnsi="Times New Roman" w:eastAsia="Arial" w:cs="Times New Roman"/>
          <w:bCs/>
          <w:sz w:val="28"/>
          <w:szCs w:val="28"/>
          <w:shd w:val="clear" w:color="auto" w:fill="ffffff"/>
          <w:lang w:eastAsia="ru-RU"/>
        </w:rPr>
        <w:t xml:space="preserve"> Произведен ремонт пищеблока и установка проточно-вытяжной вентиляции в СОШ № 12 на сумму </w:t>
      </w:r>
      <w:r>
        <w:rPr>
          <w:rFonts w:ascii="Times New Roman" w:hAnsi="Times New Roman" w:eastAsia="Arial" w:cs="Times New Roman"/>
          <w:bCs/>
          <w:sz w:val="28"/>
          <w:szCs w:val="28"/>
          <w:lang w:eastAsia="ru-RU"/>
        </w:rPr>
        <w:t xml:space="preserve">650 000,00 руб. Отремонтированы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внутренняя электропроводка в СОШ № 1 на сумму 283 000,00 руб.,</w:t>
      </w: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  <w:lang w:eastAsia="ru-RU"/>
        </w:rPr>
        <w:t xml:space="preserve">устройство питающей ВЛ в СОШ № 5 на сумму 225 450,00 руб. Проведена реконструкция электроснабжения                  ДОУ № 19 на сумму 296 420 руб. Проведен р</w:t>
      </w:r>
      <w:r>
        <w:rPr>
          <w:rFonts w:ascii="Times New Roman" w:hAnsi="Times New Roman" w:eastAsia="Calibri" w:cs="Times New Roman"/>
          <w:sz w:val="28"/>
          <w:szCs w:val="28"/>
          <w:shd w:val="clear" w:color="auto" w:fill="ffffff"/>
          <w:lang w:eastAsia="ru-RU"/>
        </w:rPr>
        <w:t xml:space="preserve">емонт спортивного зала                    СОШ № 13 на сумму 250 000,00 руб. и СОШ № 1 на сумму 150 000,00 руб.;</w:t>
      </w:r>
      <w:r/>
    </w:p>
    <w:p>
      <w:pPr>
        <w:pStyle w:val="872"/>
        <w:contextualSpacing/>
        <w:jc w:val="both"/>
        <w:spacing w:after="0" w:line="240" w:lineRule="auto"/>
        <w:widowControl w:val="off"/>
        <w:tabs>
          <w:tab w:val="left" w:pos="708" w:leader="none"/>
        </w:tabs>
      </w:pPr>
      <w:r>
        <w:rPr>
          <w:rFonts w:ascii="Times New Roman" w:hAnsi="Times New Roman" w:eastAsia="Calibri" w:cs="Times New Roman"/>
          <w:color w:val="00000a"/>
          <w:sz w:val="28"/>
          <w:szCs w:val="28"/>
          <w:shd w:val="clear" w:color="auto" w:fill="ffffff"/>
          <w:lang w:eastAsia="ru-RU"/>
        </w:rPr>
        <w:t xml:space="preserve">ремонт раздевалок спортивного зала СОШ № 11 на сумму   308 200,00 руб.;</w:t>
      </w:r>
      <w:r/>
    </w:p>
    <w:p>
      <w:pPr>
        <w:pStyle w:val="872"/>
        <w:contextualSpacing/>
        <w:jc w:val="both"/>
        <w:spacing w:after="0" w:line="240" w:lineRule="auto"/>
        <w:tabs>
          <w:tab w:val="left" w:pos="708" w:leader="none"/>
        </w:tabs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ремонт холодного водоснабжения в СОШ № 16 на сумму 200 000,00 руб.;</w:t>
      </w:r>
      <w:r/>
    </w:p>
    <w:p>
      <w:pPr>
        <w:pStyle w:val="872"/>
        <w:contextualSpacing/>
        <w:ind w:firstLine="567"/>
        <w:jc w:val="both"/>
        <w:spacing w:after="0" w:line="240" w:lineRule="auto"/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рамках реализации национального проекта «Безопасные и качественные автомобильные дороги» в декабре 2023 года для СОШ № 10 за счет средств федерального бюджета получен школьный автобус на сумму 4,5 млн. руб.</w:t>
      </w:r>
      <w:r/>
    </w:p>
    <w:p>
      <w:pPr>
        <w:pStyle w:val="872"/>
        <w:ind w:firstLine="708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Необходимо: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- дальнейшая замена оконных блоков в образовательных организациях (школы № 2,3,4,10,12,13, детских садах № 8,19,28,);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- замена кровли в школах № 3,5, 27, детских садах № 1,30;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</w:pPr>
      <w:r>
        <w:rPr>
          <w:rFonts w:ascii="Times New Roman" w:hAnsi="Times New Roman" w:cs="Times New Roman"/>
          <w:sz w:val="28"/>
          <w:szCs w:val="28"/>
        </w:rPr>
        <w:tab/>
        <w:t xml:space="preserve">- выполнение предписаний надзорных органов.</w:t>
      </w:r>
      <w:r/>
    </w:p>
    <w:p>
      <w:pPr>
        <w:pStyle w:val="872"/>
        <w:jc w:val="both"/>
        <w:spacing w:after="0" w:line="240" w:lineRule="auto"/>
        <w:tabs>
          <w:tab w:val="left" w:pos="750" w:leader="none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2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2. Цель, задачи и целевые показатели, </w:t>
      </w:r>
      <w:r/>
    </w:p>
    <w:p>
      <w:pPr>
        <w:pStyle w:val="872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сроки и этапы реализации муниципальной программы </w:t>
      </w:r>
      <w:r/>
    </w:p>
    <w:p>
      <w:pPr>
        <w:pStyle w:val="872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Целью программы является обеспечение высокого качества образования в соответствии с меняющимися запросами населения муниципального образования Ленинградский район и перспективными задачами развития общества и экономики.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Задачами программы являются: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4"/>
        </w:rPr>
        <w:t xml:space="preserve">- развитие сети и инфраструктуры образовательных организаций, обеспечивающих </w:t>
      </w:r>
      <w:r>
        <w:rPr>
          <w:rFonts w:ascii="Times New Roman" w:hAnsi="Times New Roman" w:cs="Times New Roman"/>
          <w:sz w:val="28"/>
          <w:szCs w:val="28"/>
        </w:rPr>
        <w:t xml:space="preserve">доступ населения муниципального образования Ленинградский район к качественным услугам дошкольного, общего образования и дополнительного образования детей;</w:t>
      </w:r>
      <w:r/>
    </w:p>
    <w:p>
      <w:pPr>
        <w:pStyle w:val="872"/>
        <w:ind w:firstLine="708"/>
        <w:jc w:val="both"/>
        <w:spacing w:after="0" w:line="240" w:lineRule="auto"/>
        <w:tabs>
          <w:tab w:val="left" w:pos="5715" w:leader="none"/>
        </w:tabs>
      </w:pPr>
      <w:r>
        <w:rPr>
          <w:rFonts w:ascii="Times New Roman" w:hAnsi="Times New Roman" w:cs="Times New Roman"/>
          <w:sz w:val="28"/>
          <w:szCs w:val="24"/>
        </w:rPr>
        <w:t xml:space="preserve">- развитие современных механизмов, содержания и технологий дошкольного, общего и дополнительного образования;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4"/>
        </w:rPr>
        <w:t xml:space="preserve">- реализация мер  по популяризации среди детей и молодёжи научно-образовательной, творческой и спортивной деятельности, выявление талантливой молодёжи;</w:t>
      </w:r>
      <w:r/>
    </w:p>
    <w:p>
      <w:pPr>
        <w:pStyle w:val="872"/>
        <w:ind w:firstLine="708"/>
        <w:jc w:val="both"/>
        <w:spacing w:after="0" w:line="240" w:lineRule="auto"/>
        <w:tabs>
          <w:tab w:val="left" w:pos="5715" w:leader="none"/>
        </w:tabs>
      </w:pPr>
      <w:r>
        <w:rPr>
          <w:rFonts w:ascii="Times New Roman" w:hAnsi="Times New Roman" w:cs="Times New Roman"/>
          <w:sz w:val="28"/>
          <w:szCs w:val="24"/>
        </w:rPr>
        <w:t xml:space="preserve">- реализация мер по социальной поддержке отдельных категорий обучающихся;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4"/>
        </w:rPr>
        <w:t xml:space="preserve">- формирование востребованной системы оценки качества образования и образовательных результатов;</w:t>
      </w:r>
      <w:r/>
    </w:p>
    <w:p>
      <w:pPr>
        <w:pStyle w:val="872"/>
        <w:ind w:firstLine="708"/>
        <w:jc w:val="both"/>
        <w:spacing w:after="0" w:line="240" w:lineRule="auto"/>
        <w:tabs>
          <w:tab w:val="left" w:pos="5715" w:leader="none"/>
        </w:tabs>
      </w:pPr>
      <w:r>
        <w:rPr>
          <w:rFonts w:ascii="Times New Roman" w:hAnsi="Times New Roman" w:cs="Times New Roman"/>
          <w:sz w:val="28"/>
          <w:szCs w:val="24"/>
        </w:rPr>
        <w:t xml:space="preserve">- обеспечение  отрасли образования высококвалифицированными кадрами;</w:t>
      </w:r>
      <w:r/>
    </w:p>
    <w:p>
      <w:pPr>
        <w:pStyle w:val="872"/>
        <w:ind w:firstLine="708"/>
        <w:jc w:val="both"/>
        <w:spacing w:after="0" w:line="240" w:lineRule="auto"/>
        <w:tabs>
          <w:tab w:val="left" w:pos="810" w:leader="none"/>
        </w:tabs>
      </w:pPr>
      <w:r>
        <w:rPr>
          <w:rFonts w:ascii="Times New Roman" w:hAnsi="Times New Roman" w:cs="Times New Roman"/>
          <w:sz w:val="28"/>
          <w:szCs w:val="24"/>
        </w:rPr>
        <w:t xml:space="preserve">- создание механизмов мотивации педагогов к повышению качества работы и непрерывному профессиональному развитию.</w:t>
      </w:r>
      <w:r/>
    </w:p>
    <w:p>
      <w:pPr>
        <w:pStyle w:val="872"/>
        <w:ind w:firstLine="708"/>
        <w:jc w:val="both"/>
        <w:spacing w:after="0" w:line="240" w:lineRule="auto"/>
        <w:tabs>
          <w:tab w:val="left" w:pos="81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Сроки реализации муниципальной программы - 2021-2026 годы.</w:t>
      </w:r>
      <w:r/>
    </w:p>
    <w:p>
      <w:pPr>
        <w:pStyle w:val="872"/>
        <w:ind w:firstLine="708"/>
        <w:jc w:val="both"/>
        <w:spacing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методика расчета целевых показателей  муниципальной программы приведены в Приложении 1.</w:t>
      </w:r>
      <w:r/>
    </w:p>
    <w:p>
      <w:pPr>
        <w:pStyle w:val="872"/>
        <w:ind w:firstLine="708"/>
        <w:jc w:val="both"/>
        <w:spacing w:after="0" w:line="240" w:lineRule="auto"/>
        <w:tabs>
          <w:tab w:val="left" w:pos="6255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72"/>
        <w:jc w:val="center"/>
        <w:spacing w:after="0" w:line="240" w:lineRule="auto"/>
        <w:tabs>
          <w:tab w:val="left" w:pos="3765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 xml:space="preserve">3.Перечень и краткое описание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872"/>
        <w:jc w:val="center"/>
        <w:spacing w:after="0" w:line="240" w:lineRule="auto"/>
        <w:tabs>
          <w:tab w:val="left" w:pos="3765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муниципальной программы</w:t>
      </w:r>
      <w:r/>
    </w:p>
    <w:p>
      <w:pPr>
        <w:pStyle w:val="872"/>
        <w:jc w:val="both"/>
        <w:spacing w:after="0" w:line="240" w:lineRule="auto"/>
        <w:tabs>
          <w:tab w:val="left" w:pos="3765" w:leader="none"/>
        </w:tabs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2"/>
        <w:ind w:firstLine="709"/>
        <w:jc w:val="both"/>
        <w:spacing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муниципальной программы приведён в Приложении 2.</w:t>
      </w:r>
      <w:r/>
    </w:p>
    <w:p>
      <w:pPr>
        <w:pStyle w:val="872"/>
        <w:ind w:firstLine="709"/>
        <w:jc w:val="both"/>
        <w:spacing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муниципальной программы структурирован по следующим направлениям:</w:t>
      </w:r>
      <w:r/>
    </w:p>
    <w:p>
      <w:pPr>
        <w:pStyle w:val="872"/>
        <w:ind w:firstLine="709"/>
        <w:jc w:val="both"/>
        <w:spacing w:after="0" w:line="240" w:lineRule="auto"/>
        <w:tabs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развитие сети и инфраструктуры образовательных организаций, обеспечивающих доступ населения муниципального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 Ленинградский район к качественным услугам общего образования и дополнительного образования детей. Мероприятия  данного блока представляют собой проведение капитального ремонта зданий и помещений, благоустройство территорий образовательных организаций;</w:t>
      </w:r>
      <w:r/>
    </w:p>
    <w:p>
      <w:pPr>
        <w:pStyle w:val="872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развитие современных механизмов, содержания и технологий дошкольн</w:t>
      </w:r>
      <w:r>
        <w:rPr>
          <w:rFonts w:ascii="Times New Roman" w:hAnsi="Times New Roman" w:cs="Times New Roman"/>
          <w:sz w:val="28"/>
          <w:szCs w:val="28"/>
        </w:rPr>
        <w:t xml:space="preserve">ого, общего и дополнительного образования. В данный блок включены мероприятия, касающиеся финансового обеспечения образовательных организаций в рамках выполнения муниципального задания, приобретения учебников и учебных пособий, средств обучения, а также вы</w:t>
      </w:r>
      <w:r>
        <w:rPr>
          <w:rFonts w:ascii="Times New Roman" w:hAnsi="Times New Roman" w:cs="Times New Roman"/>
          <w:sz w:val="28"/>
          <w:szCs w:val="28"/>
        </w:rPr>
        <w:t xml:space="preserve">платы компенсации части родительской платы за присмотр и уход за детьми, посещающими дошкольные образовательные организации, и мероприятия по созданию Центров образования цифрового и гуманитарного профилей «Точка роста» в общеобразовательных организациях ;</w:t>
      </w:r>
      <w:r/>
    </w:p>
    <w:p>
      <w:pPr>
        <w:pStyle w:val="872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по популяризации среди детей и молодежи научно-образовательной, творческой и спортивной деятельности, выявление талантливой молодежи. В данный блок включены мероприяти</w:t>
      </w:r>
      <w:r>
        <w:rPr>
          <w:rFonts w:ascii="Times New Roman" w:hAnsi="Times New Roman" w:cs="Times New Roman"/>
          <w:sz w:val="28"/>
          <w:szCs w:val="28"/>
        </w:rPr>
        <w:t xml:space="preserve">я различной направленности: гражданско-патриотической, спортивной, технической, мероприятия  для одаренных детей: торжественный прием главой муниципального образования победителей и призеров интеллектуальных и творческих конкурсов, спортивных соревнований;</w:t>
      </w:r>
      <w:r/>
    </w:p>
    <w:p>
      <w:pPr>
        <w:pStyle w:val="872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реализация мер по социальной поддержке отдельных категорий обучающихся. В данном блоке программы представлены мероприятия, направленные на социальную поддержку детей: обеспечение льготным питанием  учащихся из многодетных семей, обеспечение школьников</w:t>
      </w:r>
      <w:r>
        <w:rPr>
          <w:rFonts w:ascii="Times New Roman" w:hAnsi="Times New Roman" w:cs="Times New Roman"/>
          <w:sz w:val="28"/>
          <w:szCs w:val="28"/>
        </w:rPr>
        <w:t xml:space="preserve"> молоком и молочными продуктами, обеспечение горячим питанием обучающихся 1-4 классов всех школ района, а так же предоставление  дополнительных мер социальной поддержки  в виде частичной оплаты стоимости питания обучающихся общеобразовательных организаций;</w:t>
      </w:r>
      <w:r/>
    </w:p>
    <w:p>
      <w:pPr>
        <w:pStyle w:val="872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востребованной системы оценки каче</w:t>
      </w:r>
      <w:r>
        <w:rPr>
          <w:rFonts w:ascii="Times New Roman" w:hAnsi="Times New Roman" w:cs="Times New Roman"/>
          <w:sz w:val="28"/>
          <w:szCs w:val="28"/>
        </w:rPr>
        <w:t xml:space="preserve">ства образования и образовательных результатов. Данный блок мероприятий составляют мероприятия по организации и проведению государственной итоговой аттестации выпускников (ОГЭ, ЕГЭ),  а также финансовое обеспечение деятельности подведомственных учреждений;</w:t>
      </w:r>
      <w:r/>
    </w:p>
    <w:p>
      <w:pPr>
        <w:pStyle w:val="872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обеспечение отрасли образования высококвалифицированными кадрами, создание механизмов мотивации педагогов к повышению качества работы и непрер</w:t>
      </w:r>
      <w:r>
        <w:rPr>
          <w:rFonts w:ascii="Times New Roman" w:hAnsi="Times New Roman" w:cs="Times New Roman"/>
          <w:sz w:val="28"/>
          <w:szCs w:val="28"/>
        </w:rPr>
        <w:t xml:space="preserve">ывному профессиональному развитию. Мероприятиями в данном блоке являются следующие: поощрение образовательных организаций - победителей конкурса на лучшую подготовку к новому учебному году, проведение торжественного приема главой района лучших педагогическ</w:t>
      </w:r>
      <w:r>
        <w:rPr>
          <w:rFonts w:ascii="Times New Roman" w:hAnsi="Times New Roman" w:cs="Times New Roman"/>
          <w:sz w:val="28"/>
          <w:szCs w:val="28"/>
        </w:rPr>
        <w:t xml:space="preserve">их работников в честь Дня учителя, проведение процедуры независимой оценки качества условий проведения образовательной деятельности, единовременная выплата молодым педагогам, обеспечение выплат ежемесячного денежного вознаграждения за классное руководство.</w:t>
      </w:r>
      <w:r/>
    </w:p>
    <w:p>
      <w:pPr>
        <w:pStyle w:val="872"/>
        <w:ind w:firstLine="709"/>
        <w:jc w:val="both"/>
        <w:spacing w:after="0" w:line="240" w:lineRule="auto"/>
        <w:tabs>
          <w:tab w:val="left" w:pos="945" w:leader="none"/>
          <w:tab w:val="left" w:pos="62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2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4.Обоснование ресурсного обеспечения муниципальной программы</w:t>
      </w:r>
      <w:r/>
    </w:p>
    <w:p>
      <w:pPr>
        <w:pStyle w:val="872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основных мероприятий муниципальной программы осуществляется из средств федерального бюджета, средств краевого бюджета, средств муниципального бюджете и внебюджетных источников. 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На период с 2021 по 2026 годы при определении ресурсного обеспечения муниципальной программы применен планово-расчетный метод в ценах 2021 года.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Источником финансирования муниципальной программы являются средства муниципального бюджета.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из средств федерального бюджета на реализацию её мероприятий рассчитан в соответствии с методикой, утвержденной федеральным законом о федеральном бюджете, и подлежит уточнению согласно соответствующим изменениям в данном нормативно-правовом акте.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ресурсов из средств </w:t>
      </w:r>
      <w:r>
        <w:rPr>
          <w:rFonts w:ascii="Times New Roman" w:hAnsi="Times New Roman" w:cs="Times New Roman"/>
          <w:sz w:val="28"/>
          <w:szCs w:val="28"/>
        </w:rPr>
        <w:t xml:space="preserve">краевого бюджета на реализацию мероприятий муниципальной программы рассчитан в соответствии с методикой, утвержденной законом Краснодарского края о краевом бюджете, и подлежит уточнению согласно соответствующим изменениям в данном нормативно-правовом акте.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Объем финансовых ресурсов из средств муниципального бюджета на реализацию мероприятий муниципальной программы подлежит уточнению в соответствии с решением Совета муниципального образования Ленинградский район о муниципальном бюджете. 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Сведения об общем объ</w:t>
      </w:r>
      <w:r>
        <w:rPr>
          <w:rFonts w:ascii="Times New Roman" w:hAnsi="Times New Roman" w:cs="Times New Roman"/>
          <w:sz w:val="28"/>
          <w:szCs w:val="28"/>
        </w:rPr>
        <w:t xml:space="preserve">еме финансирования муниципальной программы приведены в таблице «Обоснование ресурсного обеспечения муниципальной программы муниципального образования Ленинградский район «Развитие образования в муниципальном образовании Ленинградский район» (Приложение 3).</w:t>
      </w:r>
      <w:r/>
    </w:p>
    <w:p>
      <w:pPr>
        <w:pStyle w:val="872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  <w:r>
        <w:rPr>
          <w:rFonts w:ascii="Times New Roman" w:hAnsi="Times New Roman" w:cs="Times New Roman"/>
          <w:sz w:val="20"/>
          <w:szCs w:val="20"/>
        </w:rPr>
      </w:r>
    </w:p>
    <w:p>
      <w:pPr>
        <w:pStyle w:val="872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5.Методика оценки эффективности реализации</w:t>
      </w:r>
      <w:r/>
    </w:p>
    <w:p>
      <w:pPr>
        <w:pStyle w:val="872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</w:t>
      </w:r>
      <w:r/>
    </w:p>
    <w:p>
      <w:pPr>
        <w:pStyle w:val="872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2"/>
        <w:ind w:firstLine="709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производится ежегодно, результаты представляются координатором в виде е</w:t>
      </w:r>
      <w:r>
        <w:rPr>
          <w:rFonts w:ascii="Times New Roman" w:hAnsi="Times New Roman" w:cs="Times New Roman"/>
          <w:sz w:val="28"/>
          <w:szCs w:val="28"/>
        </w:rPr>
        <w:t xml:space="preserve">жегодного доклада о ходе реализации муниципальной программы и оценке эффективности её реализации. В основу оценки эффективности реализации муниципальной программы положена типовая методика реализации муниципальной программы (приложение 6 к Порядку решения </w:t>
      </w:r>
      <w:r>
        <w:rPr>
          <w:rFonts w:ascii="Times New Roman" w:hAnsi="Times New Roman" w:cs="Times New Roman"/>
          <w:sz w:val="28"/>
          <w:szCs w:val="28"/>
        </w:rPr>
        <w:t xml:space="preserve">о разработке, формирования, реализации муниципальных программ муниципального образования Ленинградский район, утверждённого постановлением администрации муниципального образования Ленинградский район от 16 июля 2015 г. № 581 (с изменениями и дополнениями).</w:t>
      </w:r>
      <w:r/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jc w:val="center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 xml:space="preserve">6.Механизм реализации муниципальной программы </w:t>
      </w:r>
      <w:r/>
    </w:p>
    <w:p>
      <w:pPr>
        <w:pStyle w:val="872"/>
        <w:jc w:val="center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  <w:r>
        <w:rPr>
          <w:rFonts w:ascii="Times New Roman" w:hAnsi="Times New Roman" w:cs="Times New Roman"/>
          <w:b/>
          <w:sz w:val="20"/>
          <w:szCs w:val="20"/>
        </w:rPr>
      </w:r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управление образования администрации муниципального образования, которое: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обеспечивает разработку муниципальной программы;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формирует структуру муниципальной программы;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организует реализацию муниципальной программы;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принимает решение о необходимости внесения в установленном порядке изменений в муниципальную программу;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несёт ответственность за достижение целевых показателей муниципальной программы;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подготовку предложений по объёмам и источникам финансирования муниципальной программы;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проводит мониторинг реализации муниципальной программы и анализ отчётности, представляемой получателем субсидий, субвенций и иных межбюджетных средств;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проводит ежегодно оценку эффективности реализации муниципальной программы;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готовит ежегодный доклад о ходе реализации муниципальной программы и оценке эффективности её реализации;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организует информационную и разъяснительную работу, направленную на освещение целей и задач муниципальной программы  в печатных средствах информации, на информационном сайте в сети Интернет;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достигнутых результатов на официальном сайте в информационно-коммуникационной сети Интернет;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осуществляет иные полномочия, установленные муниципальной программой.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Механизм реализации программы предполагает: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1.Закупку товаров, работ, услуг для муниципальных нужд за счёт средств краевого бюджета в соответствии с Федеральным законом от 5 апреля 2013 г.   № 4</w:t>
      </w:r>
      <w:r>
        <w:rPr>
          <w:rFonts w:ascii="Times New Roman" w:hAnsi="Times New Roman" w:cs="Times New Roman"/>
          <w:sz w:val="28"/>
          <w:szCs w:val="28"/>
        </w:rPr>
        <w:t xml:space="preserve">4-ФЗ «О контрактной системе в сфере закупок товаров, работ, услуг для обеспечения государственных и муниципальных нужд», представление субсидий муниципальным бюджетным и автономным образовательным учреждениям муниципального образования Ленинградский район.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2.Предоставление в установленном законодательством порядке субсидий из краевого бюджета муниципальным бюджетным и автономным образовательным учреждениям на финансовое обеспечение выполнения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задания и иные цели в соответствии с постановлением администрации муниципального образования Ленинградский район от 10 сентября 2013 г. № 1119 «Об утверждении определения объёма и условий предоставления субсидий из местного бюджета бюджетны</w:t>
      </w:r>
      <w:r>
        <w:rPr>
          <w:rFonts w:ascii="Times New Roman" w:hAnsi="Times New Roman" w:cs="Times New Roman"/>
          <w:sz w:val="28"/>
          <w:szCs w:val="28"/>
        </w:rPr>
        <w:t xml:space="preserve">м и автономным учреждениям, находящимся в ведении управления образования администрации муниципального образования Ленинградский район, на иные цели, не связанные с возмещением нормативных затрат на выполнение муниципального задания». Предоставление субсиди</w:t>
      </w:r>
      <w:r>
        <w:rPr>
          <w:rFonts w:ascii="Times New Roman" w:hAnsi="Times New Roman" w:cs="Times New Roman"/>
          <w:sz w:val="28"/>
          <w:szCs w:val="28"/>
        </w:rPr>
        <w:t xml:space="preserve">й муниципальным бюджетным и автономным образовательным учреждениям в целях финансового обеспечения выполнения муниципального задания осуществляется в соответствии с постановлением администрации муниципального образования Ленинградский район от 21 октября 2</w:t>
      </w:r>
      <w:r>
        <w:rPr>
          <w:rFonts w:ascii="Times New Roman" w:hAnsi="Times New Roman" w:cs="Times New Roman"/>
          <w:sz w:val="28"/>
          <w:szCs w:val="28"/>
        </w:rPr>
        <w:t xml:space="preserve">015 г. № 816 «О порядке формирования муниципального задания на оказание муниципальных услуг (выполнение работ) в отношении муниципальных учреждений муниципального образования Ленинградский район и финансового обеспечения выполнения муниципального задания».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заказчик: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проводит анализ выполнения мероприятий;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несёт ответственность за нецелевое и неэффективное использование выделенных в его распоряжение бюджетных средств.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бюджетных средств в пределах полномочий, установленных бюджетным законодательством: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обеспечивает результативность, адресность и целевой характер использования бюджетных средств в соответствии с утверждёнными ему бюджетными ассигнованиями, и доведёнными лимитами бюджетных обязательств;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разрабатывает формы отчётности для получателей субсидий, субвенций и иных межбюджетных трансфертов, необходимые для осуществления контроля за выполнением муниципальной программы, устанавливает сроки их представления.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Меры налогового, тарифного, кредитного регулирования муниципальной программы не предусмотрены.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Одним из рисков реализации муниципальной программы м</w:t>
      </w:r>
      <w:r>
        <w:rPr>
          <w:rFonts w:ascii="Times New Roman" w:hAnsi="Times New Roman" w:cs="Times New Roman"/>
          <w:sz w:val="28"/>
          <w:szCs w:val="28"/>
        </w:rPr>
        <w:t xml:space="preserve">ожет стать сокращение ранее предусмотренного финансирования на её реализацию.  В этом случае потребуется реструктурировать изменения финансирования мероприятий муниципальной программы, разработать и реализовать механизмы приостановки уже начатых изменений.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 рискам реализации муниципальной программы также можно отнести риск неэффективного управления муниципальной программой, который может привести к невыполнению основных задач, поставленных перед системой образования.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Для минимизации возможных отрицательных последствий реализации муниципальной программы будет предпринят ряд мер, в том числе: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гибкое управление ходом реализации муниципальной программы и принятие необходимых корректирующих решений на основе мониторинга хода реализации муниципальной программы;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более широкое привлечение педагогической и родительской общественности к реализации и оценке результатов реализации муниципальной программы.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не требует изменения правового регулирования в области образования.</w:t>
      </w:r>
      <w:r/>
    </w:p>
    <w:p>
      <w:pPr>
        <w:pStyle w:val="872"/>
        <w:ind w:firstLine="708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При внесении изменений в программу будут разработаны и утверждены нормативные правовые акты, регулирующие реализацию данных мероприятий.»</w:t>
      </w:r>
      <w:r/>
    </w:p>
    <w:p>
      <w:pPr>
        <w:pStyle w:val="872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872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</w:t>
      </w:r>
      <w:r/>
    </w:p>
    <w:p>
      <w:pPr>
        <w:pStyle w:val="872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образования</w:t>
      </w:r>
      <w:r/>
    </w:p>
    <w:p>
      <w:pPr>
        <w:pStyle w:val="872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Л.П. Петроченкова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/>
    </w:p>
    <w:p>
      <w:r/>
      <w:r/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6838" w:h="11906" w:orient="landscape"/>
      <w:pgMar w:top="1134" w:right="624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16</w:t>
    </w:r>
    <w:r>
      <w:fldChar w:fldCharType="end"/>
    </w:r>
    <w:r/>
  </w:p>
  <w:p>
    <w:pPr>
      <w:pStyle w:val="90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7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basedOn w:val="896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basedOn w:val="896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basedOn w:val="896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basedOn w:val="896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basedOn w:val="896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basedOn w:val="896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basedOn w:val="896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basedOn w:val="896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basedOn w:val="896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basedOn w:val="896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basedOn w:val="896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basedOn w:val="896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basedOn w:val="896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basedOn w:val="91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91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basedOn w:val="91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basedOn w:val="91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basedOn w:val="91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basedOn w:val="896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basedOn w:val="896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>
    <w:name w:val="Normal"/>
    <w:next w:val="872"/>
    <w:link w:val="872"/>
    <w:qFormat/>
    <w:pPr>
      <w:spacing w:after="160" w:line="252" w:lineRule="auto"/>
    </w:pPr>
    <w:rPr>
      <w:rFonts w:ascii="Calibri" w:hAnsi="Calibri" w:cs="Calibri"/>
      <w:sz w:val="22"/>
      <w:szCs w:val="22"/>
      <w:lang w:val="ru-RU" w:eastAsia="zh-CN" w:bidi="ar-SA"/>
    </w:rPr>
  </w:style>
  <w:style w:type="paragraph" w:styleId="873">
    <w:name w:val="Заголовок 1"/>
    <w:basedOn w:val="872"/>
    <w:next w:val="872"/>
    <w:link w:val="872"/>
    <w:qFormat/>
    <w:pPr>
      <w:numPr>
        <w:ilvl w:val="0"/>
        <w:numId w:val="1"/>
      </w:numPr>
      <w:jc w:val="center"/>
      <w:spacing w:before="108" w:after="108" w:line="240" w:lineRule="auto"/>
      <w:outlineLvl w:val="0"/>
    </w:pPr>
    <w:rPr>
      <w:rFonts w:ascii="Arial" w:hAnsi="Arial" w:cs="Times New Roman"/>
      <w:b/>
      <w:bCs/>
      <w:color w:val="26282f"/>
      <w:sz w:val="24"/>
      <w:szCs w:val="24"/>
    </w:rPr>
  </w:style>
  <w:style w:type="character" w:styleId="874">
    <w:name w:val="Основной шрифт абзаца"/>
    <w:next w:val="874"/>
    <w:link w:val="872"/>
    <w:uiPriority w:val="1"/>
    <w:semiHidden/>
    <w:unhideWhenUsed/>
  </w:style>
  <w:style w:type="table" w:styleId="875">
    <w:name w:val="Обычная таблица"/>
    <w:next w:val="875"/>
    <w:link w:val="872"/>
    <w:uiPriority w:val="99"/>
    <w:semiHidden/>
    <w:unhideWhenUsed/>
    <w:tblPr/>
  </w:style>
  <w:style w:type="numbering" w:styleId="876">
    <w:name w:val="Нет списка"/>
    <w:next w:val="876"/>
    <w:link w:val="872"/>
    <w:uiPriority w:val="99"/>
    <w:semiHidden/>
    <w:unhideWhenUsed/>
  </w:style>
  <w:style w:type="character" w:styleId="877">
    <w:name w:val="WW8Num1z0"/>
    <w:next w:val="877"/>
    <w:link w:val="872"/>
  </w:style>
  <w:style w:type="character" w:styleId="878">
    <w:name w:val="WW8Num1z1"/>
    <w:next w:val="878"/>
    <w:link w:val="872"/>
  </w:style>
  <w:style w:type="character" w:styleId="879">
    <w:name w:val="WW8Num1z2"/>
    <w:next w:val="879"/>
    <w:link w:val="872"/>
  </w:style>
  <w:style w:type="character" w:styleId="880">
    <w:name w:val="WW8Num1z3"/>
    <w:next w:val="880"/>
    <w:link w:val="872"/>
  </w:style>
  <w:style w:type="character" w:styleId="881">
    <w:name w:val="WW8Num1z4"/>
    <w:next w:val="881"/>
    <w:link w:val="872"/>
  </w:style>
  <w:style w:type="character" w:styleId="882">
    <w:name w:val="WW8Num1z5"/>
    <w:next w:val="882"/>
    <w:link w:val="872"/>
  </w:style>
  <w:style w:type="character" w:styleId="883">
    <w:name w:val="WW8Num1z6"/>
    <w:next w:val="883"/>
    <w:link w:val="872"/>
  </w:style>
  <w:style w:type="character" w:styleId="884">
    <w:name w:val="WW8Num1z7"/>
    <w:next w:val="884"/>
    <w:link w:val="872"/>
  </w:style>
  <w:style w:type="character" w:styleId="885">
    <w:name w:val="WW8Num1z8"/>
    <w:next w:val="885"/>
    <w:link w:val="872"/>
  </w:style>
  <w:style w:type="character" w:styleId="886">
    <w:name w:val="Основной шрифт абзаца3"/>
    <w:next w:val="886"/>
    <w:link w:val="872"/>
  </w:style>
  <w:style w:type="character" w:styleId="887">
    <w:name w:val="Основной шрифт абзаца2"/>
    <w:next w:val="887"/>
    <w:link w:val="872"/>
  </w:style>
  <w:style w:type="character" w:styleId="888">
    <w:name w:val="Основной шрифт абзаца1"/>
    <w:next w:val="888"/>
    <w:link w:val="872"/>
  </w:style>
  <w:style w:type="character" w:styleId="889">
    <w:name w:val="Номер страницы"/>
    <w:basedOn w:val="888"/>
    <w:next w:val="889"/>
    <w:link w:val="872"/>
  </w:style>
  <w:style w:type="character" w:styleId="890">
    <w:name w:val="Заголовок 1 Знак"/>
    <w:next w:val="890"/>
    <w:link w:val="872"/>
    <w:rPr>
      <w:rFonts w:ascii="Arial" w:hAnsi="Arial" w:cs="Arial"/>
      <w:b/>
      <w:bCs/>
      <w:color w:val="26282f"/>
      <w:sz w:val="24"/>
      <w:szCs w:val="24"/>
    </w:rPr>
  </w:style>
  <w:style w:type="character" w:styleId="891">
    <w:name w:val="Цветовое выделение"/>
    <w:next w:val="891"/>
    <w:link w:val="872"/>
    <w:rPr>
      <w:b/>
      <w:color w:val="26282f"/>
    </w:rPr>
  </w:style>
  <w:style w:type="character" w:styleId="892">
    <w:name w:val="Текст выноски Знак"/>
    <w:next w:val="892"/>
    <w:link w:val="872"/>
    <w:rPr>
      <w:rFonts w:ascii="Segoe UI" w:hAnsi="Segoe UI" w:cs="Segoe UI"/>
      <w:sz w:val="18"/>
      <w:szCs w:val="18"/>
      <w:lang w:eastAsia="zh-CN"/>
    </w:rPr>
  </w:style>
  <w:style w:type="character" w:styleId="893">
    <w:name w:val="Нижний колонтитул Знак"/>
    <w:next w:val="893"/>
    <w:link w:val="872"/>
    <w:rPr>
      <w:rFonts w:ascii="Calibri" w:hAnsi="Calibri" w:cs="Calibri"/>
      <w:sz w:val="22"/>
      <w:szCs w:val="22"/>
      <w:lang w:eastAsia="zh-CN"/>
    </w:rPr>
  </w:style>
  <w:style w:type="character" w:styleId="894">
    <w:name w:val="Верхний колонтитул Знак"/>
    <w:next w:val="894"/>
    <w:link w:val="872"/>
    <w:rPr>
      <w:rFonts w:ascii="Calibri" w:hAnsi="Calibri" w:cs="Calibri"/>
      <w:sz w:val="22"/>
      <w:szCs w:val="22"/>
      <w:lang w:eastAsia="zh-CN"/>
    </w:rPr>
  </w:style>
  <w:style w:type="character" w:styleId="895">
    <w:name w:val="Основной текст Знак"/>
    <w:next w:val="895"/>
    <w:link w:val="872"/>
    <w:rPr>
      <w:rFonts w:ascii="Calibri" w:hAnsi="Calibri" w:cs="Calibri"/>
      <w:sz w:val="22"/>
      <w:szCs w:val="22"/>
      <w:lang w:eastAsia="zh-CN"/>
    </w:rPr>
  </w:style>
  <w:style w:type="character" w:styleId="896" w:default="1">
    <w:name w:val="Default Paragraph Font"/>
    <w:next w:val="896"/>
    <w:link w:val="872"/>
  </w:style>
  <w:style w:type="paragraph" w:styleId="897">
    <w:name w:val="Заголовок"/>
    <w:basedOn w:val="872"/>
    <w:next w:val="898"/>
    <w:link w:val="872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98">
    <w:name w:val="Основной текст"/>
    <w:basedOn w:val="872"/>
    <w:next w:val="898"/>
    <w:link w:val="872"/>
    <w:pPr>
      <w:spacing w:before="0" w:after="140" w:line="276" w:lineRule="auto"/>
    </w:pPr>
  </w:style>
  <w:style w:type="paragraph" w:styleId="899">
    <w:name w:val="Список"/>
    <w:basedOn w:val="898"/>
    <w:next w:val="899"/>
    <w:link w:val="872"/>
    <w:rPr>
      <w:rFonts w:cs="Mangal"/>
    </w:rPr>
  </w:style>
  <w:style w:type="paragraph" w:styleId="900">
    <w:name w:val="Название объекта"/>
    <w:basedOn w:val="872"/>
    <w:next w:val="900"/>
    <w:link w:val="87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1">
    <w:name w:val="Указатель3"/>
    <w:basedOn w:val="872"/>
    <w:next w:val="901"/>
    <w:link w:val="872"/>
    <w:pPr>
      <w:suppressLineNumbers/>
    </w:pPr>
    <w:rPr>
      <w:rFonts w:cs="Lucida Sans"/>
    </w:rPr>
  </w:style>
  <w:style w:type="paragraph" w:styleId="902">
    <w:name w:val="Название объекта2"/>
    <w:basedOn w:val="872"/>
    <w:next w:val="902"/>
    <w:link w:val="87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03">
    <w:name w:val="Указатель2"/>
    <w:basedOn w:val="872"/>
    <w:next w:val="903"/>
    <w:link w:val="872"/>
    <w:pPr>
      <w:suppressLineNumbers/>
    </w:pPr>
    <w:rPr>
      <w:rFonts w:cs="Lucida Sans"/>
    </w:rPr>
  </w:style>
  <w:style w:type="paragraph" w:styleId="904">
    <w:name w:val="Название объекта1"/>
    <w:basedOn w:val="872"/>
    <w:next w:val="904"/>
    <w:link w:val="872"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05">
    <w:name w:val="Указатель1"/>
    <w:basedOn w:val="872"/>
    <w:next w:val="905"/>
    <w:link w:val="872"/>
    <w:pPr>
      <w:suppressLineNumbers/>
    </w:pPr>
    <w:rPr>
      <w:rFonts w:cs="Mangal"/>
    </w:rPr>
  </w:style>
  <w:style w:type="paragraph" w:styleId="906">
    <w:name w:val="Верхний и нижний колонтитулы"/>
    <w:basedOn w:val="872"/>
    <w:next w:val="906"/>
    <w:link w:val="872"/>
    <w:pPr>
      <w:tabs>
        <w:tab w:val="center" w:pos="4819" w:leader="none"/>
        <w:tab w:val="right" w:pos="9638" w:leader="none"/>
      </w:tabs>
      <w:suppressLineNumbers/>
    </w:pPr>
  </w:style>
  <w:style w:type="paragraph" w:styleId="907">
    <w:name w:val="Верхний колонтитул"/>
    <w:basedOn w:val="872"/>
    <w:next w:val="907"/>
    <w:link w:val="872"/>
    <w:pPr>
      <w:tabs>
        <w:tab w:val="center" w:pos="4677" w:leader="none"/>
        <w:tab w:val="right" w:pos="9355" w:leader="none"/>
      </w:tabs>
    </w:pPr>
  </w:style>
  <w:style w:type="paragraph" w:styleId="908">
    <w:name w:val="Содержимое таблицы"/>
    <w:basedOn w:val="872"/>
    <w:next w:val="908"/>
    <w:link w:val="872"/>
    <w:pPr>
      <w:suppressLineNumbers/>
    </w:pPr>
  </w:style>
  <w:style w:type="paragraph" w:styleId="909">
    <w:name w:val="Заголовок таблицы"/>
    <w:basedOn w:val="908"/>
    <w:next w:val="909"/>
    <w:link w:val="872"/>
    <w:pPr>
      <w:jc w:val="center"/>
      <w:suppressLineNumbers/>
    </w:pPr>
    <w:rPr>
      <w:b/>
      <w:bCs/>
    </w:rPr>
  </w:style>
  <w:style w:type="paragraph" w:styleId="910">
    <w:name w:val="Содержимое врезки"/>
    <w:basedOn w:val="872"/>
    <w:next w:val="910"/>
    <w:link w:val="872"/>
  </w:style>
  <w:style w:type="paragraph" w:styleId="911">
    <w:name w:val="Table Paragraph"/>
    <w:basedOn w:val="872"/>
    <w:next w:val="911"/>
    <w:link w:val="872"/>
    <w:pPr>
      <w:spacing w:before="0" w:after="0" w:line="240" w:lineRule="auto"/>
      <w:widowControl w:val="off"/>
    </w:pPr>
    <w:rPr>
      <w:rFonts w:ascii="Times New Roman" w:hAnsi="Times New Roman" w:cs="Times New Roman"/>
    </w:rPr>
  </w:style>
  <w:style w:type="paragraph" w:styleId="912">
    <w:name w:val="Текст выноски"/>
    <w:basedOn w:val="872"/>
    <w:next w:val="912"/>
    <w:link w:val="872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3">
    <w:name w:val="Нижний колонтитул"/>
    <w:basedOn w:val="872"/>
    <w:next w:val="913"/>
    <w:link w:val="872"/>
    <w:pPr>
      <w:tabs>
        <w:tab w:val="center" w:pos="4677" w:leader="none"/>
        <w:tab w:val="right" w:pos="9355" w:leader="none"/>
      </w:tabs>
    </w:pPr>
  </w:style>
  <w:style w:type="paragraph" w:styleId="914" w:default="1">
    <w:name w:val="Normal Table"/>
    <w:next w:val="914"/>
    <w:link w:val="872"/>
    <w:rPr>
      <w:rFonts w:ascii="Calibri" w:hAnsi="Calibri" w:eastAsia="Calibri"/>
      <w:lang w:val="ru-RU" w:eastAsia="zh-CN" w:bidi="ar-SA"/>
    </w:rPr>
  </w:style>
  <w:style w:type="numbering" w:styleId="9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Krokoz™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Елена</dc:creator>
  <cp:revision>4</cp:revision>
  <dcterms:created xsi:type="dcterms:W3CDTF">2024-02-12T10:26:00Z</dcterms:created>
  <dcterms:modified xsi:type="dcterms:W3CDTF">2024-04-22T07:00:41Z</dcterms:modified>
  <cp:version>917504</cp:version>
</cp:coreProperties>
</file>