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ind w:right="94"/>
        <w:rPr>
          <w:sz w:val="28"/>
        </w:rPr>
      </w:pPr>
      <w:r>
        <w:rPr>
          <w:sz w:val="28"/>
        </w:rPr>
        <w:t xml:space="preserve">                         </w:t>
      </w:r>
      <w:r>
        <w:rPr>
          <w:sz w:val="28"/>
        </w:rPr>
        <w:t xml:space="preserve">              </w:t>
      </w:r>
    </w:p>
    <w:p w14:paraId="09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Заместителю главы </w:t>
      </w:r>
      <w:r>
        <w:rPr>
          <w:rFonts w:ascii="Times New Roman" w:hAnsi="Times New Roman"/>
          <w:sz w:val="28"/>
        </w:rPr>
        <w:t xml:space="preserve">Ленинградского муниципального </w:t>
      </w:r>
      <w:r>
        <w:rPr>
          <w:rFonts w:ascii="Times New Roman" w:hAnsi="Times New Roman"/>
          <w:sz w:val="28"/>
        </w:rPr>
        <w:t xml:space="preserve">округа, начальнику отдела </w:t>
      </w:r>
      <w:r>
        <w:rPr>
          <w:rFonts w:ascii="Times New Roman" w:hAnsi="Times New Roman"/>
          <w:sz w:val="28"/>
        </w:rPr>
        <w:t xml:space="preserve">имущественных отношений </w:t>
      </w:r>
      <w:r>
        <w:rPr>
          <w:rFonts w:ascii="Times New Roman" w:hAnsi="Times New Roman"/>
          <w:sz w:val="28"/>
        </w:rPr>
        <w:t>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0A000000">
      <w:pPr>
        <w:widowControl w:val="1"/>
        <w:ind w:left="5529" w:right="94"/>
        <w:rPr>
          <w:rFonts w:ascii="Times New Roman" w:hAnsi="Times New Roman"/>
          <w:sz w:val="28"/>
        </w:rPr>
      </w:pPr>
    </w:p>
    <w:p w14:paraId="0B000000">
      <w:pPr>
        <w:widowControl w:val="1"/>
        <w:ind w:left="5529" w:right="9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Тоцкой Р.Г.</w:t>
      </w:r>
    </w:p>
    <w:p w14:paraId="0C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D000000">
      <w:pPr>
        <w:widowControl w:val="1"/>
        <w:ind w:right="94"/>
        <w:jc w:val="center"/>
        <w:rPr>
          <w:b w:val="1"/>
          <w:sz w:val="28"/>
        </w:rPr>
      </w:pPr>
      <w:r>
        <w:rPr>
          <w:b w:val="1"/>
          <w:sz w:val="28"/>
        </w:rPr>
        <w:t>Заключение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№ 15 </w:t>
      </w:r>
      <w:r>
        <w:rPr>
          <w:b w:val="1"/>
          <w:sz w:val="28"/>
        </w:rPr>
        <w:t>от 1 октября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</w:t>
      </w:r>
      <w:r>
        <w:rPr>
          <w:b w:val="1"/>
          <w:sz w:val="28"/>
        </w:rPr>
        <w:t>26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</w:p>
    <w:p w14:paraId="0E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оценке регулирующего воздействия </w:t>
      </w:r>
      <w:r>
        <w:rPr>
          <w:rFonts w:ascii="Times New Roman" w:hAnsi="Times New Roman"/>
          <w:sz w:val="28"/>
        </w:rPr>
        <w:t xml:space="preserve">проекта </w:t>
      </w:r>
    </w:p>
    <w:p w14:paraId="0F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Ленинградский </w:t>
      </w:r>
      <w:r>
        <w:rPr>
          <w:rFonts w:ascii="Times New Roman" w:hAnsi="Times New Roman"/>
          <w:sz w:val="28"/>
        </w:rPr>
        <w:t>муниципальный округ Краснодарского края «</w:t>
      </w:r>
      <w:r>
        <w:rPr>
          <w:rFonts w:ascii="Times New Roman" w:hAnsi="Times New Roman"/>
          <w:sz w:val="28"/>
        </w:rPr>
        <w:t>Об утверждении административного регламента предоставления муниципальной слуги «Предоставление земельных участков, находящихся в государственной или муниципальной собственности, на торгах</w:t>
      </w:r>
      <w:r>
        <w:rPr>
          <w:rFonts w:ascii="Times New Roman" w:hAnsi="Times New Roman"/>
          <w:sz w:val="28"/>
        </w:rPr>
        <w:t xml:space="preserve">» </w:t>
      </w:r>
    </w:p>
    <w:p w14:paraId="10000000">
      <w:pPr>
        <w:widowControl w:val="1"/>
        <w:ind/>
        <w:jc w:val="center"/>
        <w:outlineLvl w:val="0"/>
        <w:rPr>
          <w:b w:val="1"/>
          <w:sz w:val="28"/>
        </w:rPr>
      </w:pPr>
    </w:p>
    <w:p w14:paraId="11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Отдел экономики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, как уполномоченный орган по проведению оценки регулирующего воздействия проектов муниципальных нормативных правовых актов </w:t>
      </w:r>
      <w:r>
        <w:rPr>
          <w:sz w:val="28"/>
        </w:rPr>
        <w:t xml:space="preserve">Ленинградского </w:t>
      </w:r>
      <w:r>
        <w:rPr>
          <w:sz w:val="28"/>
        </w:rPr>
        <w:t xml:space="preserve">муниципального </w:t>
      </w:r>
      <w:r>
        <w:rPr>
          <w:sz w:val="28"/>
        </w:rPr>
        <w:t>о</w:t>
      </w:r>
      <w:r>
        <w:rPr>
          <w:sz w:val="28"/>
        </w:rPr>
        <w:t>круга</w:t>
      </w:r>
      <w:r>
        <w:rPr>
          <w:sz w:val="28"/>
        </w:rPr>
        <w:t xml:space="preserve">, </w:t>
      </w:r>
      <w:r>
        <w:rPr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</w:t>
      </w:r>
      <w:r>
        <w:rPr>
          <w:sz w:val="28"/>
        </w:rPr>
        <w:t xml:space="preserve">деятельности </w:t>
      </w:r>
      <w:r>
        <w:rPr>
          <w:sz w:val="28"/>
        </w:rPr>
        <w:t>(далее – Уполномоченный орган), рассмотрел поступивший</w:t>
      </w:r>
      <w:r>
        <w:rPr>
          <w:sz w:val="28"/>
        </w:rPr>
        <w:t xml:space="preserve"> 11 сентября</w:t>
      </w:r>
      <w:r>
        <w:rPr>
          <w:sz w:val="28"/>
        </w:rPr>
        <w:t xml:space="preserve"> </w:t>
      </w:r>
      <w:r>
        <w:rPr>
          <w:sz w:val="28"/>
        </w:rPr>
        <w:t>2026</w:t>
      </w:r>
      <w:r>
        <w:rPr>
          <w:sz w:val="28"/>
        </w:rPr>
        <w:t xml:space="preserve"> г. </w:t>
      </w:r>
      <w:r>
        <w:rPr>
          <w:sz w:val="28"/>
        </w:rPr>
        <w:t xml:space="preserve">проект </w:t>
      </w:r>
      <w:r>
        <w:rPr>
          <w:sz w:val="28"/>
        </w:rPr>
        <w:t>постановления администраци</w:t>
      </w:r>
      <w:r>
        <w:rPr>
          <w:sz w:val="28"/>
        </w:rPr>
        <w:t xml:space="preserve">и </w:t>
      </w:r>
      <w:r>
        <w:rPr>
          <w:sz w:val="28"/>
        </w:rPr>
        <w:t xml:space="preserve">муниципального образования Ленинградский муниципальный округ </w:t>
      </w:r>
      <w:r>
        <w:rPr>
          <w:sz w:val="28"/>
        </w:rPr>
        <w:t>Краснодарского края</w:t>
      </w:r>
      <w:r>
        <w:rPr>
          <w:sz w:val="28"/>
        </w:rPr>
        <w:t xml:space="preserve"> «</w:t>
      </w:r>
      <w:r>
        <w:rPr>
          <w:rFonts w:ascii="Times New Roman" w:hAnsi="Times New Roman"/>
          <w:sz w:val="28"/>
        </w:rPr>
        <w:t>Об утверждении административного регламента предоставления муниципальной слуги «Предоставление земельных участков, находящихся в государственной или муниципальной собственности, на торгах</w:t>
      </w:r>
      <w:bookmarkStart w:id="1" w:name="_GoBack"/>
      <w:bookmarkEnd w:id="1"/>
      <w:r>
        <w:rPr>
          <w:sz w:val="28"/>
        </w:rPr>
        <w:t xml:space="preserve">» </w:t>
      </w:r>
      <w:r>
        <w:rPr>
          <w:sz w:val="28"/>
        </w:rPr>
        <w:t xml:space="preserve">(далее – </w:t>
      </w:r>
      <w:r>
        <w:rPr>
          <w:sz w:val="28"/>
        </w:rPr>
        <w:t>П</w:t>
      </w:r>
      <w:r>
        <w:rPr>
          <w:sz w:val="28"/>
        </w:rPr>
        <w:t>роект</w:t>
      </w:r>
      <w:r>
        <w:rPr>
          <w:sz w:val="28"/>
        </w:rPr>
        <w:t>)</w:t>
      </w:r>
      <w:r>
        <w:rPr>
          <w:sz w:val="28"/>
        </w:rPr>
        <w:t xml:space="preserve">, направленный </w:t>
      </w:r>
      <w:r>
        <w:rPr>
          <w:rFonts w:ascii="Times New Roman" w:hAnsi="Times New Roman"/>
          <w:sz w:val="28"/>
        </w:rPr>
        <w:t>сектором земельных ресурсов отдела имущественных отношений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Ленинградский муниципальный округ Краснодарского края </w:t>
      </w:r>
      <w:r>
        <w:rPr>
          <w:sz w:val="28"/>
        </w:rPr>
        <w:t xml:space="preserve">(далее - </w:t>
      </w:r>
      <w:r>
        <w:rPr>
          <w:sz w:val="28"/>
        </w:rPr>
        <w:t>Разработчик)</w:t>
      </w:r>
      <w:r>
        <w:rPr>
          <w:sz w:val="28"/>
        </w:rPr>
        <w:t xml:space="preserve"> для подготовки настоящего </w:t>
      </w:r>
      <w:r>
        <w:rPr>
          <w:sz w:val="28"/>
        </w:rPr>
        <w:t>Заключения</w:t>
      </w:r>
      <w:r>
        <w:rPr>
          <w:sz w:val="28"/>
        </w:rPr>
        <w:t>,</w:t>
      </w:r>
      <w:r>
        <w:rPr>
          <w:sz w:val="28"/>
        </w:rPr>
        <w:t xml:space="preserve"> и сообщает </w:t>
      </w:r>
      <w:r>
        <w:rPr>
          <w:sz w:val="28"/>
        </w:rPr>
        <w:t>следующее</w:t>
      </w:r>
      <w:r>
        <w:rPr>
          <w:sz w:val="28"/>
        </w:rPr>
        <w:t>.</w:t>
      </w:r>
    </w:p>
    <w:p w14:paraId="12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</w:t>
      </w:r>
      <w:r>
        <w:rPr>
          <w:sz w:val="28"/>
        </w:rPr>
        <w:t>проведения оценки регулирующего воздействия проектов муниципальных нормативных правовых актов Ленинградского муниципального округа,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</w:t>
      </w:r>
      <w:r>
        <w:rPr>
          <w:sz w:val="28"/>
        </w:rPr>
        <w:t xml:space="preserve"> </w:t>
      </w:r>
      <w:r>
        <w:rPr>
          <w:sz w:val="28"/>
        </w:rPr>
        <w:t xml:space="preserve">инвестиционной деятельности </w:t>
      </w:r>
      <w:r>
        <w:rPr>
          <w:sz w:val="28"/>
        </w:rPr>
        <w:t>(далее - Порядок) проект подлежит проведению оценки регулирующего воздействия.</w:t>
      </w:r>
    </w:p>
    <w:p w14:paraId="13000000">
      <w:pPr>
        <w:widowControl w:val="1"/>
        <w:ind w:firstLine="540"/>
        <w:jc w:val="both"/>
        <w:outlineLvl w:val="0"/>
        <w:rPr>
          <w:sz w:val="28"/>
        </w:rPr>
      </w:pPr>
      <w:r>
        <w:rPr>
          <w:sz w:val="28"/>
        </w:rPr>
        <w:t xml:space="preserve">Степень регулирующего воздействия -  </w:t>
      </w:r>
      <w:r>
        <w:rPr>
          <w:sz w:val="28"/>
        </w:rPr>
        <w:t>высокая</w:t>
      </w:r>
      <w:r>
        <w:rPr>
          <w:sz w:val="28"/>
        </w:rPr>
        <w:t xml:space="preserve">.   </w:t>
      </w:r>
    </w:p>
    <w:p w14:paraId="14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15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По результатам рассмотрения установлено, что при подготовке </w:t>
      </w:r>
      <w:r>
        <w:rPr>
          <w:sz w:val="28"/>
        </w:rPr>
        <w:t>П</w:t>
      </w:r>
      <w:r>
        <w:rPr>
          <w:sz w:val="28"/>
        </w:rPr>
        <w:t>роекта требования Порядка Разработчиком соблюдены.</w:t>
      </w:r>
    </w:p>
    <w:p w14:paraId="16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Проект направлен Разработчиком для проведения оценки регулирующего воздействия впервые.</w:t>
      </w:r>
    </w:p>
    <w:p w14:paraId="17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Проведен анализ результатов исследований, проводимых регулирующим органом</w:t>
      </w:r>
      <w:r>
        <w:rPr>
          <w:sz w:val="28"/>
        </w:rPr>
        <w:t xml:space="preserve"> </w:t>
      </w:r>
      <w:r>
        <w:rPr>
          <w:sz w:val="28"/>
        </w:rPr>
        <w:t xml:space="preserve">с учетом установления полноты рассмотрения </w:t>
      </w:r>
      <w:r>
        <w:rPr>
          <w:sz w:val="28"/>
        </w:rPr>
        <w:t xml:space="preserve">регулирующим органом </w:t>
      </w:r>
      <w:r>
        <w:rPr>
          <w:sz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 </w:t>
      </w:r>
    </w:p>
    <w:p w14:paraId="18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Р</w:t>
      </w:r>
      <w:r>
        <w:rPr>
          <w:sz w:val="28"/>
        </w:rPr>
        <w:t>азработчиком предложен один вариант правового регулирования -</w:t>
      </w:r>
      <w:r>
        <w:rPr>
          <w:sz w:val="28"/>
        </w:rPr>
        <w:t xml:space="preserve"> </w:t>
      </w:r>
      <w:r>
        <w:rPr>
          <w:sz w:val="28"/>
        </w:rPr>
        <w:t xml:space="preserve">принятие постановления администрации </w:t>
      </w:r>
      <w:r>
        <w:rPr>
          <w:sz w:val="28"/>
        </w:rPr>
        <w:t>муниципального образования Ленинградский муниципальный округ Краснодарского края «</w:t>
      </w:r>
      <w:r>
        <w:rPr>
          <w:rFonts w:ascii="Times New Roman" w:hAnsi="Times New Roman"/>
          <w:sz w:val="28"/>
        </w:rPr>
        <w:t>Об утверждении административного регламента предоставления муниципальной слуги «Предоставление земельных участков, находящихся в государственной или муниципальной собственности, на торгах</w:t>
      </w:r>
      <w:r>
        <w:rPr>
          <w:sz w:val="28"/>
        </w:rPr>
        <w:t>»</w:t>
      </w:r>
      <w:r>
        <w:rPr>
          <w:color w:themeColor="text1" w:val="000000"/>
          <w:sz w:val="28"/>
        </w:rPr>
        <w:t>.</w:t>
      </w:r>
      <w:r>
        <w:rPr>
          <w:sz w:val="28"/>
        </w:rPr>
        <w:t xml:space="preserve"> </w:t>
      </w:r>
    </w:p>
    <w:p w14:paraId="19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альтернативы рассмотрен вариант непринятия 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акта. </w:t>
      </w:r>
    </w:p>
    <w:p w14:paraId="1A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сравнение указанных вариантов правового регулирования. </w:t>
      </w:r>
      <w:r>
        <w:rPr>
          <w:rFonts w:ascii="Times New Roman" w:hAnsi="Times New Roman"/>
          <w:sz w:val="28"/>
        </w:rPr>
        <w:t xml:space="preserve">Выбор варианта правового регулирования сделан исходя из оценки </w:t>
      </w:r>
      <w:r>
        <w:rPr>
          <w:rFonts w:ascii="Times New Roman" w:hAnsi="Times New Roman"/>
          <w:sz w:val="28"/>
        </w:rPr>
        <w:t>возможности достижения заявленн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цел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регулирования</w:t>
      </w:r>
      <w:r>
        <w:rPr>
          <w:rFonts w:ascii="Times New Roman" w:hAnsi="Times New Roman"/>
          <w:sz w:val="28"/>
        </w:rPr>
        <w:t xml:space="preserve"> и оценки рисков </w:t>
      </w:r>
      <w:r>
        <w:rPr>
          <w:rFonts w:ascii="Times New Roman" w:hAnsi="Times New Roman"/>
          <w:sz w:val="28"/>
        </w:rPr>
        <w:t>наступления неблагоприятных последствий</w:t>
      </w:r>
      <w:r>
        <w:rPr>
          <w:rFonts w:ascii="Times New Roman" w:hAnsi="Times New Roman"/>
          <w:sz w:val="28"/>
        </w:rPr>
        <w:t xml:space="preserve">. </w:t>
      </w:r>
    </w:p>
    <w:p w14:paraId="1B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Проведена оценка эффективности </w:t>
      </w:r>
      <w:r>
        <w:rPr>
          <w:sz w:val="28"/>
        </w:rPr>
        <w:t xml:space="preserve">предлагаемого варианта правового регулирования, </w:t>
      </w:r>
      <w:r>
        <w:rPr>
          <w:sz w:val="28"/>
        </w:rPr>
        <w:t>основанн</w:t>
      </w:r>
      <w:r>
        <w:rPr>
          <w:sz w:val="28"/>
        </w:rPr>
        <w:t>ого</w:t>
      </w:r>
      <w:r>
        <w:rPr>
          <w:sz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14:paraId="1C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роблема</w:t>
      </w:r>
      <w:r>
        <w:rPr>
          <w:rFonts w:ascii="Times New Roman" w:hAnsi="Times New Roman"/>
          <w:sz w:val="28"/>
        </w:rPr>
        <w:t>, на решение которой направлено правовое регулирование, сформирована точно</w:t>
      </w:r>
      <w:r>
        <w:rPr>
          <w:rFonts w:ascii="Times New Roman" w:hAnsi="Times New Roman"/>
          <w:sz w:val="28"/>
        </w:rPr>
        <w:t>;</w:t>
      </w:r>
    </w:p>
    <w:p w14:paraId="1D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определены потенциальные адресаты предлагаемого правового регулиро</w:t>
      </w:r>
      <w:r>
        <w:rPr>
          <w:sz w:val="28"/>
        </w:rPr>
        <w:t>вания</w:t>
      </w:r>
      <w:r>
        <w:rPr>
          <w:sz w:val="28"/>
        </w:rPr>
        <w:t>;</w:t>
      </w:r>
    </w:p>
    <w:p w14:paraId="1E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 к</w:t>
      </w:r>
      <w:r>
        <w:rPr>
          <w:sz w:val="28"/>
        </w:rPr>
        <w:t xml:space="preserve">оличественная </w:t>
      </w:r>
      <w:r>
        <w:rPr>
          <w:sz w:val="28"/>
        </w:rPr>
        <w:t>оценка участников не ограничена;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1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предлагаемого </w:t>
      </w:r>
      <w:r>
        <w:rPr>
          <w:rFonts w:ascii="Times New Roman" w:hAnsi="Times New Roman"/>
          <w:sz w:val="28"/>
        </w:rPr>
        <w:t>проектом правового регулирования определена объективно</w:t>
      </w:r>
      <w:r>
        <w:rPr>
          <w:rFonts w:ascii="Times New Roman" w:hAnsi="Times New Roman"/>
          <w:sz w:val="28"/>
        </w:rPr>
        <w:t>;</w:t>
      </w:r>
    </w:p>
    <w:p w14:paraId="20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срок достижения заявленных целей: с даты вступления в силу постановления</w:t>
      </w:r>
      <w:r>
        <w:rPr>
          <w:rFonts w:ascii="Times New Roman" w:hAnsi="Times New Roman"/>
          <w:sz w:val="28"/>
        </w:rPr>
        <w:t>, в связи с чем отсутствует необходимость в последующем мониторинге достижения целей</w:t>
      </w:r>
      <w:r>
        <w:rPr>
          <w:rFonts w:ascii="Times New Roman" w:hAnsi="Times New Roman"/>
          <w:sz w:val="28"/>
        </w:rPr>
        <w:t>;</w:t>
      </w:r>
    </w:p>
    <w:p w14:paraId="21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дополнительных расходов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), связанных</w:t>
      </w:r>
      <w:r>
        <w:rPr>
          <w:rFonts w:ascii="Times New Roman" w:hAnsi="Times New Roman"/>
          <w:sz w:val="28"/>
        </w:rPr>
        <w:t xml:space="preserve"> с введением предлагаемого правового регулирования, не предполагается;</w:t>
      </w:r>
    </w:p>
    <w:p w14:paraId="2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риски введения предлагаемого правового регулирования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>.</w:t>
      </w:r>
    </w:p>
    <w:p w14:paraId="23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4000000">
      <w:pPr>
        <w:widowControl w:val="1"/>
        <w:tabs>
          <w:tab w:leader="none" w:pos="993" w:val="left"/>
        </w:tabs>
        <w:ind w:firstLine="56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. Потенциальными группами участников общественных отношений, интересы которых будут затронуты правовым регулированием, являются</w:t>
      </w:r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граждане, </w:t>
      </w:r>
      <w:r>
        <w:rPr>
          <w:rFonts w:ascii="Times New Roman" w:hAnsi="Times New Roman"/>
          <w:color w:val="000000"/>
          <w:sz w:val="28"/>
        </w:rPr>
        <w:t>юридические лица</w:t>
      </w:r>
      <w:r>
        <w:rPr>
          <w:rFonts w:ascii="Times New Roman" w:hAnsi="Times New Roman"/>
          <w:color w:val="000000"/>
          <w:sz w:val="28"/>
        </w:rPr>
        <w:t xml:space="preserve">, субъекты малого и среднего предпринимательства, </w:t>
      </w:r>
      <w:r>
        <w:rPr>
          <w:rFonts w:ascii="Times New Roman" w:hAnsi="Times New Roman"/>
          <w:color w:val="000000"/>
          <w:sz w:val="28"/>
        </w:rPr>
        <w:t>заинтересованные в предоставлении муни</w:t>
      </w:r>
      <w:r>
        <w:rPr>
          <w:rFonts w:ascii="Times New Roman" w:hAnsi="Times New Roman"/>
          <w:color w:val="000000"/>
          <w:sz w:val="28"/>
        </w:rPr>
        <w:t>ципальной услуги.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Их количество неограниченно.</w:t>
      </w:r>
    </w:p>
    <w:p w14:paraId="25000000">
      <w:pPr>
        <w:widowControl w:val="0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случае проведения аукциона на право заключения договора аренды земельного участка, заявителями на получение муниципальной услуги могут быть только </w:t>
      </w:r>
      <w:r>
        <w:rPr>
          <w:rFonts w:ascii="Times New Roman" w:hAnsi="Times New Roman"/>
          <w:color w:val="000000"/>
          <w:sz w:val="28"/>
        </w:rPr>
        <w:t>субъекты малого и среднего предпринимательства, включенные в перечни государственного и муниципального имущества, предусмотренные частью 4 статьи 18 Федерального закона от 24 июля 2007 г. № 209-ФЗ «О развитии малого и среднего предпринимательства в Российской Федерации», за исключением субъектов малого и среднего предпринимательства, в отношении которых не может оказываться подде</w:t>
      </w:r>
      <w:r>
        <w:rPr>
          <w:rFonts w:ascii="Times New Roman" w:hAnsi="Times New Roman"/>
          <w:color w:val="000000"/>
          <w:sz w:val="28"/>
        </w:rPr>
        <w:t>ржка в соответствии с частью 3 статьи 14 указанного Федерального закона.</w:t>
      </w:r>
    </w:p>
    <w:p w14:paraId="26000000">
      <w:pPr>
        <w:widowControl w:val="1"/>
        <w:tabs>
          <w:tab w:leader="none" w:pos="993" w:val="left"/>
        </w:tabs>
        <w:ind w:firstLine="567"/>
        <w:jc w:val="both"/>
        <w:rPr>
          <w:rFonts w:ascii="Times New Roman" w:hAnsi="Times New Roman"/>
          <w:color w:val="000000"/>
          <w:sz w:val="28"/>
        </w:rPr>
      </w:pPr>
    </w:p>
    <w:p w14:paraId="27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2. Проблема, на решение которой направлено правовое регулирование, </w:t>
      </w:r>
      <w:r>
        <w:rPr>
          <w:sz w:val="28"/>
        </w:rPr>
        <w:t>заключается в</w:t>
      </w:r>
      <w:r>
        <w:rPr>
          <w:sz w:val="28"/>
        </w:rPr>
        <w:t xml:space="preserve"> следующем</w:t>
      </w:r>
      <w:r>
        <w:rPr>
          <w:sz w:val="28"/>
        </w:rPr>
        <w:t>:</w:t>
      </w:r>
      <w:r>
        <w:rPr>
          <w:sz w:val="28"/>
        </w:rPr>
        <w:t xml:space="preserve"> </w:t>
      </w:r>
    </w:p>
    <w:p w14:paraId="28000000">
      <w:pPr>
        <w:widowControl w:val="1"/>
        <w:ind w:firstLine="450"/>
        <w:jc w:val="both"/>
        <w:rPr>
          <w:rFonts w:ascii="XO Thames" w:hAnsi="XO Thames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 xml:space="preserve">отсутствует возможность оказания </w:t>
      </w:r>
      <w:r>
        <w:rPr>
          <w:rFonts w:ascii="XO Thames" w:hAnsi="XO Thames"/>
          <w:b w:val="0"/>
          <w:sz w:val="28"/>
        </w:rPr>
        <w:t>муниципальной услуги «</w:t>
      </w:r>
      <w:r>
        <w:rPr>
          <w:rFonts w:ascii="Times New Roman" w:hAnsi="Times New Roman"/>
          <w:sz w:val="28"/>
        </w:rPr>
        <w:t>Предоставление земельных участков, находящихся в государственной или муниципальной собственности, на торгах</w:t>
      </w:r>
      <w:r>
        <w:rPr>
          <w:rFonts w:ascii="XO Thames" w:hAnsi="XO Thames"/>
          <w:b w:val="0"/>
          <w:sz w:val="28"/>
        </w:rPr>
        <w:t>»</w:t>
      </w:r>
      <w:r>
        <w:rPr>
          <w:rFonts w:ascii="XO Thames" w:hAnsi="XO Thames"/>
          <w:color w:val="000000"/>
          <w:sz w:val="28"/>
        </w:rPr>
        <w:t>.</w:t>
      </w:r>
    </w:p>
    <w:p w14:paraId="29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Предусмотренное проектом правовое регулирование иными правовыми, информационными или организационными средствами не представляется </w:t>
      </w:r>
      <w:r>
        <w:rPr>
          <w:sz w:val="28"/>
        </w:rPr>
        <w:t>возможным.</w:t>
      </w:r>
    </w:p>
    <w:p w14:paraId="2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оказание </w:t>
      </w:r>
      <w:r>
        <w:rPr>
          <w:rFonts w:ascii="Times New Roman" w:hAnsi="Times New Roman"/>
          <w:b w:val="0"/>
          <w:sz w:val="28"/>
        </w:rPr>
        <w:t>м</w:t>
      </w:r>
      <w:r>
        <w:rPr>
          <w:rFonts w:ascii="XO Thames" w:hAnsi="XO Thames"/>
          <w:b w:val="0"/>
          <w:sz w:val="28"/>
        </w:rPr>
        <w:t>униципальной услуги «</w:t>
      </w:r>
      <w:r>
        <w:rPr>
          <w:rFonts w:ascii="Times New Roman" w:hAnsi="Times New Roman"/>
          <w:sz w:val="28"/>
        </w:rPr>
        <w:t xml:space="preserve">Предоставление земельных участков, находящихся в </w:t>
      </w:r>
      <w:r>
        <w:rPr>
          <w:rFonts w:ascii="Times New Roman" w:hAnsi="Times New Roman"/>
          <w:sz w:val="28"/>
        </w:rPr>
        <w:t>государственной или муниципальной собственности, на торгах</w:t>
      </w:r>
      <w:r>
        <w:rPr>
          <w:rFonts w:ascii="XO Thames" w:hAnsi="XO Thames"/>
          <w:b w:val="0"/>
          <w:sz w:val="28"/>
        </w:rPr>
        <w:t>»</w:t>
      </w:r>
      <w:r>
        <w:rPr>
          <w:sz w:val="28"/>
        </w:rPr>
        <w:t>.</w:t>
      </w:r>
    </w:p>
    <w:p w14:paraId="2B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Цел</w:t>
      </w:r>
      <w:r>
        <w:rPr>
          <w:sz w:val="28"/>
        </w:rPr>
        <w:t>ь</w:t>
      </w:r>
      <w:r>
        <w:rPr>
          <w:sz w:val="28"/>
        </w:rPr>
        <w:t xml:space="preserve"> правового регулирования </w:t>
      </w:r>
      <w:r>
        <w:rPr>
          <w:sz w:val="28"/>
        </w:rPr>
        <w:t xml:space="preserve">соответствует </w:t>
      </w:r>
      <w:r>
        <w:rPr>
          <w:sz w:val="28"/>
        </w:rPr>
        <w:t xml:space="preserve">принципам правового регулирования, установленным </w:t>
      </w:r>
      <w:r>
        <w:rPr>
          <w:sz w:val="28"/>
        </w:rPr>
        <w:t xml:space="preserve">действующим </w:t>
      </w:r>
      <w:r>
        <w:rPr>
          <w:sz w:val="28"/>
        </w:rPr>
        <w:t xml:space="preserve">законодательством Российской </w:t>
      </w:r>
      <w:r>
        <w:rPr>
          <w:sz w:val="28"/>
        </w:rPr>
        <w:t>Федерации</w:t>
      </w:r>
      <w:r>
        <w:rPr>
          <w:sz w:val="28"/>
        </w:rPr>
        <w:t xml:space="preserve"> и </w:t>
      </w:r>
      <w:r>
        <w:rPr>
          <w:sz w:val="28"/>
        </w:rPr>
        <w:t>Краснодарского края.</w:t>
      </w:r>
    </w:p>
    <w:p w14:paraId="2C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Проект муниципального нормативного правового акта содержит положения, </w:t>
      </w:r>
      <w:r>
        <w:rPr>
          <w:rFonts w:ascii="Times New Roman" w:hAnsi="Times New Roman"/>
          <w:sz w:val="28"/>
        </w:rPr>
        <w:t xml:space="preserve">устанавливающие новые обязанности для субъектов предпринимательской и иной экономической деятельности. </w:t>
      </w:r>
    </w:p>
    <w:p w14:paraId="2D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документов, необходимых в соответствии с законодательными и иными нормативными правовыми актами для предоставления муниципальной услуги, (приложение 3 к Регламенту), с учетом идент</w:t>
      </w:r>
      <w:r>
        <w:rPr>
          <w:rFonts w:ascii="Times New Roman" w:hAnsi="Times New Roman"/>
          <w:sz w:val="28"/>
        </w:rPr>
        <w:t>ификаторов категорий (признаков) заявителей</w:t>
      </w:r>
      <w:r>
        <w:rPr>
          <w:rFonts w:ascii="Times New Roman" w:hAnsi="Times New Roman"/>
          <w:sz w:val="28"/>
        </w:rPr>
        <w:t>.</w:t>
      </w:r>
    </w:p>
    <w:p w14:paraId="2E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Полномочия администрации Ленинградского муниципального округа в отношениях с субъектами предпринимательской и инвестиционной деятельности -  </w:t>
      </w:r>
      <w:r>
        <w:rPr>
          <w:rFonts w:ascii="XO Thames" w:hAnsi="XO Thames"/>
          <w:sz w:val="28"/>
        </w:rPr>
        <w:t xml:space="preserve">после проведения аукциона: </w:t>
      </w:r>
      <w:r>
        <w:rPr>
          <w:rFonts w:ascii="Times New Roman" w:hAnsi="Times New Roman"/>
          <w:sz w:val="28"/>
        </w:rPr>
        <w:t>1) з</w:t>
      </w:r>
      <w:r>
        <w:rPr>
          <w:rFonts w:ascii="Times New Roman" w:hAnsi="Times New Roman"/>
          <w:sz w:val="28"/>
        </w:rPr>
        <w:t>аключение договора купли-продажи земельного участка</w:t>
      </w:r>
      <w:r>
        <w:rPr>
          <w:rFonts w:ascii="Times New Roman" w:hAnsi="Times New Roman"/>
          <w:sz w:val="28"/>
        </w:rPr>
        <w:t>; 2) з</w:t>
      </w:r>
      <w:r>
        <w:rPr>
          <w:rFonts w:ascii="Times New Roman" w:hAnsi="Times New Roman"/>
          <w:sz w:val="28"/>
        </w:rPr>
        <w:t xml:space="preserve">аключение договора аренды земельного </w:t>
      </w:r>
      <w:r>
        <w:rPr>
          <w:rFonts w:ascii="Times New Roman" w:hAnsi="Times New Roman"/>
          <w:sz w:val="28"/>
        </w:rPr>
        <w:t xml:space="preserve">участка или </w:t>
      </w:r>
      <w:r>
        <w:rPr>
          <w:rFonts w:ascii="Times New Roman" w:hAnsi="Times New Roman"/>
          <w:sz w:val="28"/>
        </w:rPr>
        <w:t>решение об отказе в предоставлении муниципальной услуги в форме письма, подписанного руководителем уполномоченного органа или иным уполномоченным им лицом.</w:t>
      </w:r>
    </w:p>
    <w:p w14:paraId="2F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Проектом </w:t>
      </w:r>
      <w:r>
        <w:rPr>
          <w:rFonts w:ascii="Times New Roman" w:hAnsi="Times New Roman"/>
          <w:sz w:val="28"/>
        </w:rPr>
        <w:t xml:space="preserve">МПА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бязательные требования не установлены.</w:t>
      </w:r>
    </w:p>
    <w:p w14:paraId="30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bookmarkStart w:id="2" w:name="Par228"/>
      <w:bookmarkEnd w:id="2"/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Риски </w:t>
      </w:r>
      <w:r>
        <w:rPr>
          <w:rFonts w:ascii="Times New Roman" w:hAnsi="Times New Roman"/>
          <w:sz w:val="28"/>
        </w:rPr>
        <w:t>недостижения</w:t>
      </w:r>
      <w:r>
        <w:rPr>
          <w:rFonts w:ascii="Times New Roman" w:hAnsi="Times New Roman"/>
          <w:sz w:val="28"/>
        </w:rPr>
        <w:t xml:space="preserve"> целей правового регулирования</w:t>
      </w:r>
      <w:r>
        <w:rPr>
          <w:rFonts w:ascii="Times New Roman" w:hAnsi="Times New Roman"/>
          <w:sz w:val="28"/>
        </w:rPr>
        <w:t xml:space="preserve"> отсутствуют</w:t>
      </w:r>
      <w:r>
        <w:rPr>
          <w:rFonts w:ascii="Times New Roman" w:hAnsi="Times New Roman"/>
          <w:sz w:val="28"/>
        </w:rPr>
        <w:t>.</w:t>
      </w:r>
    </w:p>
    <w:p w14:paraId="31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Дополнительные расходы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 xml:space="preserve">), понесенные от регулирующего воздействия предлагаемого проекта муниципального нормативного правового акта, не </w:t>
      </w:r>
      <w:r>
        <w:rPr>
          <w:rFonts w:ascii="Times New Roman" w:hAnsi="Times New Roman"/>
          <w:sz w:val="28"/>
        </w:rPr>
        <w:t>предполагаются.</w:t>
      </w:r>
    </w:p>
    <w:p w14:paraId="32000000">
      <w:pPr>
        <w:widowControl w:val="1"/>
        <w:ind w:firstLine="567"/>
        <w:jc w:val="both"/>
        <w:rPr>
          <w:sz w:val="28"/>
        </w:rPr>
      </w:pPr>
      <w:r>
        <w:rPr>
          <w:color w:themeColor="text1" w:val="000000"/>
          <w:sz w:val="28"/>
        </w:rPr>
        <w:t>Расходы потенциальных адресатов предлагаемого правового регулирования, предполагаются в виде информационных издержек на подготовку и представление</w:t>
      </w:r>
      <w:r>
        <w:rPr>
          <w:sz w:val="28"/>
        </w:rPr>
        <w:t xml:space="preserve"> документов на предоставление муниципальной услуги</w:t>
      </w:r>
      <w:r>
        <w:rPr>
          <w:color w:val="000000"/>
          <w:sz w:val="28"/>
        </w:rPr>
        <w:t xml:space="preserve"> </w:t>
      </w:r>
      <w:r>
        <w:rPr>
          <w:color w:themeColor="text1" w:val="000000"/>
          <w:sz w:val="28"/>
        </w:rPr>
        <w:t xml:space="preserve">в размере </w:t>
      </w:r>
      <w:r>
        <w:rPr>
          <w:sz w:val="28"/>
        </w:rPr>
        <w:t xml:space="preserve">примерно </w:t>
      </w:r>
      <w:r>
        <w:rPr>
          <w:color w:themeColor="text1" w:val="000000"/>
          <w:sz w:val="28"/>
        </w:rPr>
        <w:t>1 254,3</w:t>
      </w:r>
      <w:r>
        <w:rPr>
          <w:b w:val="1"/>
          <w:color w:themeColor="text1" w:val="000000"/>
          <w:sz w:val="28"/>
        </w:rPr>
        <w:t xml:space="preserve"> </w:t>
      </w:r>
      <w:r>
        <w:rPr>
          <w:sz w:val="28"/>
        </w:rPr>
        <w:t>руб. в расчете на 1 заявителя</w:t>
      </w:r>
      <w:r>
        <w:rPr>
          <w:color w:themeColor="text1" w:val="000000"/>
          <w:sz w:val="28"/>
        </w:rPr>
        <w:t>.</w:t>
      </w:r>
    </w:p>
    <w:p w14:paraId="33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Согласно </w:t>
      </w:r>
      <w:r>
        <w:rPr>
          <w:rFonts w:ascii="Times New Roman" w:hAnsi="Times New Roman"/>
          <w:color w:themeColor="text1" w:val="000000"/>
          <w:sz w:val="24"/>
        </w:rPr>
        <w:t>Методике оценки стандартных издержек субъектов</w:t>
      </w:r>
      <w:r>
        <w:rPr>
          <w:rFonts w:ascii="Times New Roman" w:hAnsi="Times New Roman"/>
          <w:color w:themeColor="text1" w:val="000000"/>
          <w:sz w:val="24"/>
        </w:rPr>
        <w:t xml:space="preserve">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1 февраля 2024 г. № 54, информационные издержки регулирования включают в себя затраты на подготовку и представление информации в соответствии с требованиями проекта.</w:t>
      </w:r>
    </w:p>
    <w:p w14:paraId="34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Расчет вышеуказанной суммы затрат произведен с использованием калькулятора </w:t>
      </w:r>
      <w:r>
        <w:rPr>
          <w:rFonts w:ascii="Times New Roman" w:hAnsi="Times New Roman"/>
          <w:color w:themeColor="text1" w:val="000000"/>
          <w:sz w:val="24"/>
        </w:rPr>
        <w:t>расчета</w:t>
      </w:r>
      <w:r>
        <w:rPr>
          <w:rFonts w:ascii="Times New Roman" w:hAnsi="Times New Roman"/>
          <w:color w:themeColor="text1" w:val="000000"/>
          <w:sz w:val="24"/>
        </w:rPr>
        <w:t xml:space="preserve"> стандартных издержек: </w:t>
      </w:r>
    </w:p>
    <w:p w14:paraId="35000000">
      <w:pPr>
        <w:widowControl w:val="1"/>
        <w:ind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          1) название требования: предоставление пакета документов;</w:t>
      </w:r>
    </w:p>
    <w:p w14:paraId="36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тип требования: предоставление информации;</w:t>
      </w:r>
    </w:p>
    <w:p w14:paraId="37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раздел требования: информационное;</w:t>
      </w:r>
    </w:p>
    <w:p w14:paraId="38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информационный элемент: предоставление заявления, справок, подтверждающих документов, совершенных действий (произведенных расходов) и т.п.;</w:t>
      </w:r>
    </w:p>
    <w:p w14:paraId="39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тип элемента: документы, составленные совместно с третьими лицами для хранения /передачи органам власти; или внутренние документы для хранения /передачи органам власти; или иное;</w:t>
      </w:r>
    </w:p>
    <w:p w14:paraId="3A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- масштаб: - </w:t>
      </w:r>
    </w:p>
    <w:p w14:paraId="3B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частота: 1 ед.</w:t>
      </w:r>
    </w:p>
    <w:p w14:paraId="3C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Действия:</w:t>
      </w:r>
    </w:p>
    <w:p w14:paraId="3D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написание любого документа низкого уровня сложности (менее 5 стр. печатного </w:t>
      </w:r>
      <w:r>
        <w:rPr>
          <w:rFonts w:ascii="Times New Roman" w:hAnsi="Times New Roman"/>
          <w:color w:themeColor="text1" w:val="000000"/>
          <w:sz w:val="24"/>
        </w:rPr>
        <w:t>текста</w:t>
      </w:r>
      <w:r>
        <w:rPr>
          <w:rFonts w:ascii="Times New Roman" w:hAnsi="Times New Roman"/>
          <w:color w:themeColor="text1" w:val="000000"/>
          <w:sz w:val="24"/>
        </w:rPr>
        <w:t>) – 1,00 чел./часов;</w:t>
      </w:r>
    </w:p>
    <w:p w14:paraId="3E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копирование документов – 1,00 чел./часов;</w:t>
      </w:r>
    </w:p>
    <w:p w14:paraId="3F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подача заявления – 1,00 чел./часов.</w:t>
      </w:r>
    </w:p>
    <w:p w14:paraId="40000000">
      <w:pPr>
        <w:widowControl w:val="1"/>
        <w:ind w:firstLine="567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Среднемесячная заработная плата по Ленинградскому округу на </w:t>
      </w:r>
      <w:r>
        <w:rPr>
          <w:rFonts w:ascii="Times New Roman" w:hAnsi="Times New Roman"/>
          <w:color w:themeColor="text1" w:val="000000"/>
          <w:sz w:val="24"/>
        </w:rPr>
        <w:t xml:space="preserve">1 июля </w:t>
      </w:r>
      <w:r>
        <w:rPr>
          <w:rFonts w:ascii="Times New Roman" w:hAnsi="Times New Roman"/>
          <w:color w:themeColor="text1" w:val="000000"/>
          <w:sz w:val="24"/>
        </w:rPr>
        <w:t>202</w:t>
      </w:r>
      <w:r>
        <w:rPr>
          <w:rFonts w:ascii="Times New Roman" w:hAnsi="Times New Roman"/>
          <w:color w:themeColor="text1" w:val="000000"/>
          <w:sz w:val="24"/>
        </w:rPr>
        <w:t>6</w:t>
      </w:r>
      <w:r>
        <w:rPr>
          <w:rFonts w:ascii="Times New Roman" w:hAnsi="Times New Roman"/>
          <w:color w:themeColor="text1" w:val="000000"/>
          <w:sz w:val="24"/>
        </w:rPr>
        <w:t xml:space="preserve"> г. </w:t>
      </w:r>
      <w:r>
        <w:rPr>
          <w:rFonts w:ascii="Times New Roman" w:hAnsi="Times New Roman"/>
          <w:color w:themeColor="text1" w:val="000000"/>
          <w:sz w:val="24"/>
        </w:rPr>
        <w:t>согласно данным органов</w:t>
      </w:r>
      <w:r>
        <w:rPr>
          <w:rFonts w:ascii="Times New Roman" w:hAnsi="Times New Roman"/>
          <w:color w:themeColor="text1" w:val="000000"/>
          <w:sz w:val="24"/>
        </w:rPr>
        <w:t xml:space="preserve"> статистики по крупным и средним предприятиям: 70241,9</w:t>
      </w:r>
      <w:r>
        <w:rPr>
          <w:rFonts w:ascii="Times New Roman" w:hAnsi="Times New Roman"/>
          <w:color w:themeColor="text1" w:val="000000"/>
          <w:sz w:val="24"/>
        </w:rPr>
        <w:t xml:space="preserve"> руб.</w:t>
      </w:r>
      <w:r>
        <w:rPr>
          <w:rFonts w:ascii="Times New Roman" w:hAnsi="Times New Roman"/>
          <w:color w:themeColor="text1" w:val="000000"/>
          <w:sz w:val="24"/>
        </w:rPr>
        <w:t xml:space="preserve">  </w:t>
      </w:r>
    </w:p>
    <w:p w14:paraId="41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Средняя стоимость часа работы: 418,1</w:t>
      </w:r>
      <w:r>
        <w:rPr>
          <w:rFonts w:ascii="Times New Roman" w:hAnsi="Times New Roman"/>
          <w:color w:themeColor="text1" w:val="000000"/>
          <w:sz w:val="24"/>
        </w:rPr>
        <w:t xml:space="preserve"> руб. </w:t>
      </w:r>
    </w:p>
    <w:p w14:paraId="42000000">
      <w:pPr>
        <w:widowControl w:val="1"/>
        <w:ind w:firstLine="567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Стоимость требования: 1 254,3</w:t>
      </w:r>
      <w:r>
        <w:rPr>
          <w:rFonts w:ascii="Times New Roman" w:hAnsi="Times New Roman"/>
          <w:color w:themeColor="text1" w:val="000000"/>
          <w:sz w:val="24"/>
        </w:rPr>
        <w:t xml:space="preserve"> руб. в расчете на 1 ед.  418,1</w:t>
      </w:r>
      <w:r>
        <w:rPr>
          <w:rFonts w:ascii="Times New Roman" w:hAnsi="Times New Roman"/>
          <w:color w:themeColor="text1" w:val="000000"/>
          <w:sz w:val="24"/>
        </w:rPr>
        <w:t xml:space="preserve"> х </w:t>
      </w:r>
      <w:r>
        <w:rPr>
          <w:rFonts w:ascii="Times New Roman" w:hAnsi="Times New Roman"/>
          <w:color w:themeColor="text1" w:val="000000"/>
          <w:sz w:val="24"/>
        </w:rPr>
        <w:t>(1+1+1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.</w:t>
      </w:r>
    </w:p>
    <w:p w14:paraId="43000000">
      <w:pPr>
        <w:pStyle w:val="Style_4"/>
        <w:widowControl w:val="1"/>
        <w:ind w:firstLine="567"/>
        <w:jc w:val="both"/>
        <w:rPr>
          <w:rFonts w:ascii="Times New Roman" w:hAnsi="Times New Roman"/>
          <w:sz w:val="24"/>
          <w:shd w:fill="F8D957" w:val="clear"/>
        </w:rPr>
      </w:pPr>
    </w:p>
    <w:p w14:paraId="44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Необоснованные расходы, связанные с регулирующим воздействием </w:t>
      </w:r>
      <w:r>
        <w:rPr>
          <w:rFonts w:ascii="Times New Roman" w:hAnsi="Times New Roman"/>
          <w:sz w:val="28"/>
        </w:rPr>
        <w:t xml:space="preserve">проекта, отсутствуют. </w:t>
      </w:r>
    </w:p>
    <w:p w14:paraId="45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В соответствии с Порядком уполномоченный орган провел публичные </w:t>
      </w:r>
      <w:r>
        <w:rPr>
          <w:rFonts w:ascii="Times New Roman" w:hAnsi="Times New Roman"/>
          <w:sz w:val="28"/>
        </w:rPr>
        <w:t>консультации по проекту в период с</w:t>
      </w:r>
      <w:r>
        <w:rPr>
          <w:rFonts w:ascii="Times New Roman" w:hAnsi="Times New Roman"/>
          <w:sz w:val="28"/>
        </w:rPr>
        <w:t xml:space="preserve"> 11 сентября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 </w:t>
      </w:r>
      <w:r>
        <w:rPr>
          <w:rFonts w:ascii="Times New Roman" w:hAnsi="Times New Roman"/>
          <w:sz w:val="28"/>
        </w:rPr>
        <w:t>24 сентября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</w:p>
    <w:p w14:paraId="46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8. Информация о проводимых публичных консультациях размещена на официальном сайте администрации Ленинградского муниципального округа (www.adminlenkub.ru), а также направлена в адрес лиц с которыми </w:t>
      </w:r>
      <w:r>
        <w:rPr>
          <w:sz w:val="28"/>
        </w:rPr>
        <w:t xml:space="preserve">заключены соглашения о взаимодействии по вопросам проведения оценки регулирующего воздействия и в адрес </w:t>
      </w:r>
      <w:r>
        <w:rPr>
          <w:rFonts w:ascii="Times New Roman" w:hAnsi="Times New Roman"/>
          <w:sz w:val="28"/>
        </w:rPr>
        <w:t xml:space="preserve">территориальных органов </w:t>
      </w:r>
      <w:r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z w:val="28"/>
        </w:rPr>
        <w:t>Ленинградского муниципального органа.</w:t>
      </w:r>
    </w:p>
    <w:p w14:paraId="47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48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По результатам оценки регулирующего воздействия сделаны выводы об</w:t>
      </w:r>
      <w:r>
        <w:rPr>
          <w:rFonts w:ascii="Times New Roman" w:hAnsi="Times New Roman"/>
          <w:sz w:val="28"/>
        </w:rPr>
        <w:t xml:space="preserve"> отсутствии в представленном проекте положений, вводящих избыточные административные обязанности, запреты и ограничения для субъектов  малого и среднего предпринимательства (юридических лиц, индивидуальных предпринимателей) или способствующих их введению,  оказывающих негативное влияние на отрасли экономики Ленинградского муниципального округа, способствующих возникновению необоснованных расходов субъектов малого и среднего предпринимательства (юридических лиц, индивидуальных предпринимателей), а также необоснованных расходов местного бюджета (бюджета Ленинградского муниципального округа), и о возможности его дальнейшего согласования.</w:t>
      </w:r>
    </w:p>
    <w:p w14:paraId="49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</w:p>
    <w:p w14:paraId="4A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 сектором развития</w:t>
      </w:r>
    </w:p>
    <w:p w14:paraId="4B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предпринимательства </w:t>
      </w:r>
    </w:p>
    <w:p w14:paraId="4C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отдела экономики администрации                                                             Н.Г. </w:t>
      </w:r>
      <w:r>
        <w:rPr>
          <w:rFonts w:ascii="Times New Roman" w:hAnsi="Times New Roman"/>
          <w:sz w:val="28"/>
        </w:rPr>
        <w:t>Пырхова</w:t>
      </w:r>
    </w:p>
    <w:sectPr>
      <w:headerReference r:id="rId5" w:type="default"/>
      <w:headerReference r:id="rId3" w:type="first"/>
      <w:headerReference r:id="rId1" w:type="even"/>
      <w:footerReference r:id="rId6" w:type="default"/>
      <w:footerReference r:id="rId4" w:type="first"/>
      <w:footerReference r:id="rId2" w:type="even"/>
      <w:type w:val="continuous"/>
      <w:pgSz w:h="16834" w:orient="portrait" w:w="11909"/>
      <w:pgMar w:bottom="1134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Balloon Text"/>
    <w:basedOn w:val="Style_5"/>
    <w:link w:val="Style_7_ch"/>
    <w:rPr>
      <w:rFonts w:ascii="Tahoma" w:hAnsi="Tahoma"/>
      <w:sz w:val="16"/>
    </w:rPr>
  </w:style>
  <w:style w:styleId="Style_7_ch" w:type="character">
    <w:name w:val="Balloon Text"/>
    <w:basedOn w:val="Style_5_ch"/>
    <w:link w:val="Style_7"/>
    <w:rPr>
      <w:rFonts w:ascii="Tahoma" w:hAnsi="Tahoma"/>
      <w:sz w:val="16"/>
    </w:rPr>
  </w:style>
  <w:style w:styleId="Style_8" w:type="paragraph">
    <w:name w:val="Основной текст2"/>
    <w:basedOn w:val="Style_5"/>
    <w:link w:val="Style_8_ch"/>
    <w:pPr>
      <w:widowControl w:val="1"/>
      <w:spacing w:after="1560" w:line="317" w:lineRule="exact"/>
      <w:ind/>
    </w:pPr>
    <w:rPr>
      <w:color w:val="000000"/>
      <w:spacing w:val="8"/>
      <w:sz w:val="24"/>
    </w:rPr>
  </w:style>
  <w:style w:styleId="Style_8_ch" w:type="character">
    <w:name w:val="Основной текст2"/>
    <w:basedOn w:val="Style_5_ch"/>
    <w:link w:val="Style_8"/>
    <w:rPr>
      <w:color w:val="000000"/>
      <w:spacing w:val="8"/>
      <w:sz w:val="24"/>
    </w:rPr>
  </w:style>
  <w:style w:styleId="Style_9" w:type="paragraph">
    <w:name w:val="toc 4"/>
    <w:next w:val="Style_5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Гипертекстовая ссылка"/>
    <w:link w:val="Style_10_ch"/>
    <w:rPr>
      <w:b w:val="1"/>
      <w:color w:val="008000"/>
      <w:sz w:val="30"/>
    </w:rPr>
  </w:style>
  <w:style w:styleId="Style_10_ch" w:type="character">
    <w:name w:val="Гипертекстовая ссылка"/>
    <w:link w:val="Style_10"/>
    <w:rPr>
      <w:b w:val="1"/>
      <w:color w:val="008000"/>
      <w:sz w:val="30"/>
    </w:rPr>
  </w:style>
  <w:style w:styleId="Style_11" w:type="paragraph">
    <w:name w:val="toc 6"/>
    <w:next w:val="Style_5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Основной текст1"/>
    <w:basedOn w:val="Style_5"/>
    <w:link w:val="Style_13_ch"/>
    <w:pPr>
      <w:widowControl w:val="1"/>
      <w:spacing w:line="266" w:lineRule="exact"/>
      <w:ind/>
      <w:jc w:val="center"/>
    </w:pPr>
    <w:rPr>
      <w:spacing w:val="5"/>
      <w:sz w:val="25"/>
    </w:rPr>
  </w:style>
  <w:style w:styleId="Style_13_ch" w:type="character">
    <w:name w:val="Основной текст1"/>
    <w:basedOn w:val="Style_5_ch"/>
    <w:link w:val="Style_13"/>
    <w:rPr>
      <w:spacing w:val="5"/>
      <w:sz w:val="25"/>
    </w:rPr>
  </w:style>
  <w:style w:styleId="Style_14" w:type="paragraph">
    <w:name w:val="End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basedOn w:val="Style_5"/>
    <w:next w:val="Style_5"/>
    <w:link w:val="Style_15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5_ch" w:type="character">
    <w:name w:val="heading 3"/>
    <w:basedOn w:val="Style_5_ch"/>
    <w:link w:val="Style_15"/>
    <w:rPr>
      <w:rFonts w:asciiTheme="majorAscii" w:hAnsiTheme="majorHAnsi"/>
      <w:b w:val="1"/>
      <w:color w:themeColor="accent1" w:val="4F81BD"/>
    </w:rPr>
  </w:style>
  <w:style w:styleId="Style_16" w:type="paragraph">
    <w:name w:val="Прижатый влево"/>
    <w:basedOn w:val="Style_5"/>
    <w:next w:val="Style_5"/>
    <w:link w:val="Style_16_ch"/>
    <w:pPr>
      <w:widowControl w:val="1"/>
      <w:ind/>
    </w:pPr>
    <w:rPr>
      <w:rFonts w:ascii="Cambria Math" w:hAnsi="Cambria Math"/>
      <w:sz w:val="24"/>
    </w:rPr>
  </w:style>
  <w:style w:styleId="Style_16_ch" w:type="character">
    <w:name w:val="Прижатый влево"/>
    <w:basedOn w:val="Style_5_ch"/>
    <w:link w:val="Style_16"/>
    <w:rPr>
      <w:rFonts w:ascii="Cambria Math" w:hAnsi="Cambria Math"/>
      <w:sz w:val="24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17" w:type="paragraph">
    <w:name w:val="Знак"/>
    <w:basedOn w:val="Style_5"/>
    <w:link w:val="Style_17_ch"/>
    <w:pPr>
      <w:widowControl w:val="1"/>
      <w:spacing w:after="160" w:line="240" w:lineRule="exact"/>
      <w:ind/>
    </w:pPr>
    <w:rPr>
      <w:rFonts w:ascii="Verdana" w:hAnsi="Verdana"/>
    </w:rPr>
  </w:style>
  <w:style w:styleId="Style_17_ch" w:type="character">
    <w:name w:val="Знак"/>
    <w:basedOn w:val="Style_5_ch"/>
    <w:link w:val="Style_17"/>
    <w:rPr>
      <w:rFonts w:ascii="Verdana" w:hAnsi="Verdana"/>
    </w:rPr>
  </w:style>
  <w:style w:styleId="Style_18" w:type="paragraph">
    <w:name w:val="ConsPlusTitle"/>
    <w:link w:val="Style_18_ch"/>
    <w:pPr>
      <w:widowControl w:val="0"/>
      <w:ind/>
    </w:pPr>
    <w:rPr>
      <w:rFonts w:ascii="Arial" w:hAnsi="Arial"/>
      <w:b w:val="1"/>
    </w:rPr>
  </w:style>
  <w:style w:styleId="Style_18_ch" w:type="character">
    <w:name w:val="ConsPlusTitle"/>
    <w:link w:val="Style_18"/>
    <w:rPr>
      <w:rFonts w:ascii="Arial" w:hAnsi="Arial"/>
      <w:b w:val="1"/>
    </w:rPr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sz w:val="22"/>
    </w:rPr>
  </w:style>
  <w:style w:styleId="Style_3_ch" w:type="character">
    <w:name w:val="ConsPlusNormal"/>
    <w:link w:val="Style_3"/>
    <w:rPr>
      <w:rFonts w:ascii="Calibri" w:hAnsi="Calibri"/>
      <w:sz w:val="22"/>
    </w:rPr>
  </w:style>
  <w:style w:styleId="Style_19" w:type="paragraph">
    <w:name w:val="No Spacing"/>
    <w:link w:val="Style_19_ch"/>
    <w:rPr>
      <w:sz w:val="26"/>
    </w:rPr>
  </w:style>
  <w:style w:styleId="Style_19_ch" w:type="character">
    <w:name w:val="No Spacing"/>
    <w:link w:val="Style_19"/>
    <w:rPr>
      <w:sz w:val="26"/>
    </w:rPr>
  </w:style>
  <w:style w:styleId="Style_20" w:type="paragraph">
    <w:name w:val="Strong"/>
    <w:basedOn w:val="Style_21"/>
    <w:link w:val="Style_20_ch"/>
    <w:rPr>
      <w:b w:val="1"/>
    </w:rPr>
  </w:style>
  <w:style w:styleId="Style_20_ch" w:type="character">
    <w:name w:val="Strong"/>
    <w:basedOn w:val="Style_21_ch"/>
    <w:link w:val="Style_20"/>
    <w:rPr>
      <w:b w:val="1"/>
    </w:rPr>
  </w:style>
  <w:style w:styleId="Style_22" w:type="paragraph">
    <w:name w:val="toc 3"/>
    <w:next w:val="Style_5"/>
    <w:link w:val="Style_2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3" w:type="paragraph">
    <w:name w:val="Body Text"/>
    <w:basedOn w:val="Style_5"/>
    <w:link w:val="Style_23_ch"/>
    <w:pPr>
      <w:widowControl w:val="1"/>
      <w:ind/>
      <w:jc w:val="center"/>
    </w:pPr>
    <w:rPr>
      <w:b w:val="1"/>
      <w:caps w:val="1"/>
      <w:sz w:val="28"/>
    </w:rPr>
  </w:style>
  <w:style w:styleId="Style_23_ch" w:type="character">
    <w:name w:val="Body Text"/>
    <w:basedOn w:val="Style_5_ch"/>
    <w:link w:val="Style_23"/>
    <w:rPr>
      <w:b w:val="1"/>
      <w:caps w:val="1"/>
      <w:sz w:val="28"/>
    </w:rPr>
  </w:style>
  <w:style w:styleId="Style_24" w:type="paragraph">
    <w:name w:val="heading 5"/>
    <w:next w:val="Style_5"/>
    <w:link w:val="Style_2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Default"/>
    <w:link w:val="Style_25_ch"/>
    <w:rPr>
      <w:color w:val="000000"/>
      <w:sz w:val="24"/>
    </w:rPr>
  </w:style>
  <w:style w:styleId="Style_25_ch" w:type="character">
    <w:name w:val="Default"/>
    <w:link w:val="Style_25"/>
    <w:rPr>
      <w:color w:val="000000"/>
      <w:sz w:val="24"/>
    </w:rPr>
  </w:style>
  <w:style w:styleId="Style_26" w:type="paragraph">
    <w:name w:val="heading 1"/>
    <w:basedOn w:val="Style_5"/>
    <w:next w:val="Style_5"/>
    <w:link w:val="Style_26_ch"/>
    <w:uiPriority w:val="9"/>
    <w:qFormat/>
    <w:pPr>
      <w:keepNext w:val="1"/>
      <w:widowControl w:val="1"/>
      <w:spacing w:line="302" w:lineRule="exact"/>
      <w:ind w:left="1094"/>
      <w:outlineLvl w:val="0"/>
    </w:pPr>
    <w:rPr>
      <w:b w:val="1"/>
      <w:color w:val="000000"/>
      <w:spacing w:val="-4"/>
      <w:sz w:val="28"/>
    </w:rPr>
  </w:style>
  <w:style w:styleId="Style_26_ch" w:type="character">
    <w:name w:val="heading 1"/>
    <w:basedOn w:val="Style_5_ch"/>
    <w:link w:val="Style_26"/>
    <w:rPr>
      <w:b w:val="1"/>
      <w:color w:val="000000"/>
      <w:spacing w:val="-4"/>
      <w:sz w:val="28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27" w:type="paragraph">
    <w:name w:val="Hyperlink"/>
    <w:basedOn w:val="Style_21"/>
    <w:link w:val="Style_27_ch"/>
    <w:rPr>
      <w:color w:val="0066CC"/>
      <w:u w:val="single"/>
    </w:rPr>
  </w:style>
  <w:style w:styleId="Style_27_ch" w:type="character">
    <w:name w:val="Hyperlink"/>
    <w:basedOn w:val="Style_21_ch"/>
    <w:link w:val="Style_27"/>
    <w:rPr>
      <w:color w:val="0066CC"/>
      <w:u w:val="single"/>
    </w:rPr>
  </w:style>
  <w:style w:styleId="Style_28" w:type="paragraph">
    <w:name w:val="Footnote"/>
    <w:link w:val="Style_2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toc 1"/>
    <w:next w:val="Style_5"/>
    <w:link w:val="Style_2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link w:val="Style_3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blk"/>
    <w:basedOn w:val="Style_21"/>
    <w:link w:val="Style_31_ch"/>
  </w:style>
  <w:style w:styleId="Style_31_ch" w:type="character">
    <w:name w:val="blk"/>
    <w:basedOn w:val="Style_21_ch"/>
    <w:link w:val="Style_31"/>
  </w:style>
  <w:style w:styleId="Style_32" w:type="paragraph">
    <w:name w:val="toc 9"/>
    <w:next w:val="Style_5"/>
    <w:link w:val="Style_3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toc 8"/>
    <w:next w:val="Style_5"/>
    <w:link w:val="Style_3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Основной текст (2)"/>
    <w:basedOn w:val="Style_5"/>
    <w:link w:val="Style_34_ch"/>
    <w:pPr>
      <w:widowControl w:val="1"/>
      <w:spacing w:after="120" w:line="0" w:lineRule="atLeast"/>
      <w:ind w:hanging="120"/>
      <w:jc w:val="center"/>
    </w:pPr>
    <w:rPr>
      <w:sz w:val="28"/>
    </w:rPr>
  </w:style>
  <w:style w:styleId="Style_34_ch" w:type="character">
    <w:name w:val="Основной текст (2)"/>
    <w:basedOn w:val="Style_5_ch"/>
    <w:link w:val="Style_34"/>
    <w:rPr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35" w:type="paragraph">
    <w:name w:val="List Paragraph"/>
    <w:basedOn w:val="Style_5"/>
    <w:link w:val="Style_35_ch"/>
    <w:pPr>
      <w:widowControl w:val="1"/>
      <w:ind w:left="720"/>
      <w:contextualSpacing w:val="1"/>
    </w:pPr>
  </w:style>
  <w:style w:styleId="Style_35_ch" w:type="character">
    <w:name w:val="List Paragraph"/>
    <w:basedOn w:val="Style_5_ch"/>
    <w:link w:val="Style_35"/>
  </w:style>
  <w:style w:styleId="Style_36" w:type="paragraph">
    <w:name w:val="toc 5"/>
    <w:next w:val="Style_5"/>
    <w:link w:val="Style_3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Subtitle"/>
    <w:next w:val="Style_5"/>
    <w:link w:val="Style_3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Title"/>
    <w:next w:val="Style_5"/>
    <w:link w:val="Style_3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5"/>
    <w:link w:val="Style_3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Нормальный (таблица)"/>
    <w:basedOn w:val="Style_5"/>
    <w:next w:val="Style_5"/>
    <w:link w:val="Style_40_ch"/>
    <w:pPr>
      <w:widowControl w:val="1"/>
      <w:ind/>
      <w:jc w:val="both"/>
    </w:pPr>
    <w:rPr>
      <w:rFonts w:ascii="Arial" w:hAnsi="Arial"/>
      <w:sz w:val="24"/>
    </w:rPr>
  </w:style>
  <w:style w:styleId="Style_40_ch" w:type="character">
    <w:name w:val="Нормальный (таблица)"/>
    <w:basedOn w:val="Style_5_ch"/>
    <w:link w:val="Style_40"/>
    <w:rPr>
      <w:rFonts w:ascii="Arial" w:hAnsi="Arial"/>
      <w:sz w:val="24"/>
    </w:rPr>
  </w:style>
  <w:style w:styleId="Style_41" w:type="paragraph">
    <w:name w:val="heading 2"/>
    <w:basedOn w:val="Style_5"/>
    <w:next w:val="Style_5"/>
    <w:link w:val="Style_41_ch"/>
    <w:uiPriority w:val="9"/>
    <w:qFormat/>
    <w:pPr>
      <w:keepNext w:val="1"/>
      <w:widowControl w:val="1"/>
      <w:spacing w:line="302" w:lineRule="exact"/>
      <w:ind/>
      <w:jc w:val="center"/>
      <w:outlineLvl w:val="1"/>
    </w:pPr>
    <w:rPr>
      <w:b w:val="1"/>
      <w:caps w:val="1"/>
      <w:color w:val="000000"/>
      <w:spacing w:val="-7"/>
      <w:sz w:val="28"/>
    </w:rPr>
  </w:style>
  <w:style w:styleId="Style_41_ch" w:type="character">
    <w:name w:val="heading 2"/>
    <w:basedOn w:val="Style_5_ch"/>
    <w:link w:val="Style_41"/>
    <w:rPr>
      <w:b w:val="1"/>
      <w:caps w:val="1"/>
      <w:color w:val="000000"/>
      <w:spacing w:val="-7"/>
      <w:sz w:val="28"/>
    </w:rPr>
  </w:style>
  <w:style w:styleId="Style_42" w:type="table">
    <w:name w:val="Table Grid"/>
    <w:basedOn w:val="Style_4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2026-07-14T06:02:00Z</dcterms:created>
  <dcterms:modified xsi:type="dcterms:W3CDTF">2026-09-14T07:45:50Z</dcterms:modified>
</cp:coreProperties>
</file>