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муниципального образования Ленинградский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муниципальный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01.09.2025 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1186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387" w:firstLine="0"/>
        <w:jc w:val="left"/>
        <w:tabs>
          <w:tab w:val="left" w:pos="5670" w:leader="none"/>
        </w:tabs>
        <w:rPr>
          <w:rFonts w:ascii="Times New Roman" w:hAnsi="Times New Roman" w:cs="Times New Roman"/>
          <w:sz w:val="40"/>
          <w:szCs w:val="40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40"/>
          <w:szCs w:val="40"/>
          <w:highlight w:val="white"/>
        </w:rPr>
      </w:r>
      <w:r>
        <w:rPr>
          <w:rFonts w:ascii="Times New Roman" w:hAnsi="Times New Roman" w:cs="Times New Roman"/>
          <w:sz w:val="40"/>
          <w:szCs w:val="40"/>
          <w:highlight w:val="white"/>
        </w:rPr>
      </w:r>
    </w:p>
    <w:p>
      <w:pPr>
        <w:ind w:left="720" w:firstLine="0"/>
        <w:jc w:val="center"/>
        <w:tabs>
          <w:tab w:val="left" w:pos="5670" w:leader="none"/>
        </w:tabs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администрацией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left="720" w:firstLine="0"/>
        <w:jc w:val="center"/>
        <w:tabs>
          <w:tab w:val="left" w:pos="5670" w:leader="none"/>
        </w:tabs>
        <w:rPr>
          <w:rFonts w:ascii="Times New Roman" w:hAnsi="Times New Roman" w:cs="Times New Roman"/>
          <w:sz w:val="40"/>
          <w:szCs w:val="40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40"/>
          <w:szCs w:val="40"/>
          <w:highlight w:val="white"/>
        </w:rPr>
      </w:r>
      <w:r>
        <w:rPr>
          <w:rFonts w:ascii="Times New Roman" w:hAnsi="Times New Roman" w:cs="Times New Roman"/>
          <w:sz w:val="40"/>
          <w:szCs w:val="40"/>
          <w:highlight w:val="white"/>
        </w:rPr>
      </w:r>
    </w:p>
    <w:p>
      <w:pPr>
        <w:ind w:left="720" w:firstLine="0"/>
        <w:jc w:val="center"/>
        <w:tabs>
          <w:tab w:val="left" w:pos="567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highlight w:val="white"/>
        </w:rPr>
      </w:r>
      <w:bookmarkStart w:id="0" w:name="sub_301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Общие положения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720" w:firstLine="0"/>
        <w:tabs>
          <w:tab w:val="left" w:pos="5670" w:leader="none"/>
        </w:tabs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white"/>
        </w:rPr>
      </w:r>
    </w:p>
    <w:p>
      <w:pPr>
        <w:ind w:firstLine="709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1" w:name="sub_100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Настоящий Порядок устанавливает порядок разработки и утверждения административных регламентов предоставления муниципальных услуг администрацией муниципального образования Ленинградский муниципальный округ Краснодарского края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– Администрация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2" w:name="sub_1002"/>
      <w:r>
        <w:rPr>
          <w:highlight w:val="white"/>
        </w:rPr>
      </w:r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Административные регламенты разрабатываются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отраслевыми (функциональными) и территориальными органами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утверждаются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правовыми актами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(далее соответственно - орган, предоставляющий муниципальные услуги, административный регламент)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709" w:leader="none"/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3" w:name="sub_1003"/>
      <w:r>
        <w:rPr>
          <w:highlight w:val="white"/>
        </w:rPr>
      </w:r>
      <w:bookmarkEnd w:id="2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Административные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 иными правовыми актами Краснодарского края, а также в соответствии с единым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тандартом предоставления муниципальной услуги (при его наличии) после внесения сведений о муниципальной услуге в федеральную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венную информационную систему «Федеральный реестр государственных и муниципальных услуг (функций)» и государственную регистрационную информационную систему «Реестр государственных и муниципальных услуг (функций) Краснодарского края» (далее - реестр услуг)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4" w:name="sub_1004"/>
      <w:r>
        <w:rPr>
          <w:highlight w:val="white"/>
        </w:rPr>
      </w:r>
      <w:bookmarkEnd w:id="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Разработка, согласовани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е, проведение экспертизы и утверждение административных регламентов осуществляется органом, предоставляющим муниципальные услуги, с использованием программно-технических средств реестра услуг (при наличии технической возможности) либо на бумажном носителе.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5" w:name="sub_1005"/>
      <w:r>
        <w:rPr>
          <w:highlight w:val="white"/>
        </w:rPr>
      </w:r>
      <w:bookmarkEnd w:id="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Разработка административных регламентов включает следующие этапы: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внесение в реестр услуг органом, предоставляющим муниципальные услуги, сведений о муниципальной услуге (далее - административные процедуры);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2) автоматическое формирование из сведений, указанных в </w:t>
      </w:r>
      <w:hyperlink w:tooltip="#sub_3021" w:anchor="sub_3021" w:history="1">
        <w:r>
          <w:rPr>
            <w:rStyle w:val="909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установленными </w:t>
      </w:r>
      <w:hyperlink w:tooltip="#sub_3017" w:anchor="sub_3017" w:history="1">
        <w:r>
          <w:rPr>
            <w:rStyle w:val="909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разделом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анализ, доработка (при необходимости) органом, предоставляющим муниципальные услуги, проекта административного регламента, сформированно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в соответствии с подпунктом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и его загрузка в реестр услуг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роведение в отношении проекта административного регламента, сформированного в соответствии с </w:t>
      </w:r>
      <w:hyperlink r:id="rId11" w:tooltip="https://internet.garant.ru/#/document/37070930/entry/10154" w:anchor="/document/37070930/entry/10154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подпунктом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пункта, процедур, предусмотренных </w:t>
      </w:r>
      <w:hyperlink r:id="rId12" w:tooltip="https://internet.garant.ru/#/document/37070930/entry/1003" w:anchor="/document/37070930/entry/100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разделами III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IV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6" w:name="sub_1007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 разработке административных регламентов орган, предоставляющий муниципальные услуги, предусматривает оптимизацию (повышение качества) предоставления муниципальных 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логически обособленных последовательностей административных действий при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ной услуги (далее - административные процедуры) и сро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hyperlink r:id="rId13" w:tooltip="garantF1://12077515.0" w:history="1">
        <w:r>
          <w:rPr>
            <w:rStyle w:val="909"/>
            <w:rFonts w:ascii="Times New Roman" w:hAnsi="Times New Roman" w:eastAsia="Times New Roman"/>
            <w:color w:val="000000" w:themeColor="text1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(далее-Федеральный закон 210-ФЗ)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bookmarkStart w:id="7" w:name="sub_1008"/>
      <w:r>
        <w:rPr>
          <w:highlight w:val="white"/>
        </w:rPr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Наименование административных регламентов определяется органом, предоставляющим  муниципальные услуги, с учетом формулировки нормативного правового акта, которым предусмотрена соответствующая муниципальная услуга.</w:t>
      </w:r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r>
      <w:r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r>
    </w:p>
    <w:p>
      <w:pPr>
        <w:ind w:firstLine="709"/>
        <w:jc w:val="center"/>
        <w:tabs>
          <w:tab w:val="left" w:pos="567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highlight w:val="white"/>
        </w:rPr>
      </w:r>
      <w:bookmarkStart w:id="8" w:name="sub_301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Требования к структуре и содержанию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5670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административных регламентов</w:t>
      </w:r>
      <w:bookmarkEnd w:id="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r>
      <w:r>
        <w:rPr>
          <w:rFonts w:ascii="Times New Roman" w:hAnsi="Times New Roman" w:cs="Times New Roman"/>
          <w:color w:val="000000" w:themeColor="text1"/>
          <w:sz w:val="44"/>
          <w:szCs w:val="44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9" w:name="sub_100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административный регламент включаются следующие разделы: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0" w:name="sub_3023"/>
      <w:r>
        <w:rPr>
          <w:highlight w:val="white"/>
        </w:rPr>
      </w:r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2.1.1.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Общие положения.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1" w:name="sub_3024"/>
      <w:r>
        <w:rPr>
          <w:highlight w:val="white"/>
        </w:rPr>
      </w:r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Стандарт предоставления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2" w:name="sub_3025"/>
      <w:r>
        <w:rPr>
          <w:highlight w:val="white"/>
        </w:rPr>
      </w:r>
      <w:bookmarkEnd w:id="1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 объектах, принадлежащих заявителю, и (или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иных объектах, а также знаний (навыков) 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услуги, повторение которой в рамках предоставления одной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услуги допускается 2 и более раза).</w:t>
      </w:r>
      <w:bookmarkEnd w:id="1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2.1.4.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3" w:name="sub_101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раздел «Общие положения»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4" w:name="sub_3028"/>
      <w:r>
        <w:rPr>
          <w:highlight w:val="white"/>
        </w:rPr>
      </w:r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предмет регулирования административного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5" w:name="sub_3029"/>
      <w:r>
        <w:rPr>
          <w:highlight w:val="white"/>
        </w:rPr>
      </w:r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круг заявителей;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6" w:name="sub_3030"/>
      <w:r>
        <w:rPr>
          <w:highlight w:val="white"/>
        </w:rPr>
      </w:r>
      <w:bookmarkEnd w:id="15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требование предоставления заявителю муниципальной услуги</w:t>
      </w:r>
      <w:r>
        <w:rPr>
          <w:rFonts w:ascii="PT Serif" w:hAnsi="PT Serif" w:eastAsia="PT Serif" w:cs="PT Serif"/>
          <w:color w:val="000000" w:themeColor="text1"/>
          <w:sz w:val="23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hyperlink r:id="rId14" w:tooltip="https://www.gosuslugi.ru/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Единый портал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государственных и муниципальных услуг (функций)» (далее соответственно - категории (признаки) заявителей, Единый портал государственных и муниципальных услуг).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7" w:name="sub_1011"/>
      <w:r>
        <w:rPr>
          <w:highlight w:val="white"/>
        </w:rPr>
      </w:r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Раздел «Стандарт предоставления муниципальной услуги» состоит из следующих подразделов: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8" w:name="sub_3031"/>
      <w:r>
        <w:rPr>
          <w:highlight w:val="white"/>
        </w:rPr>
      </w:r>
      <w:bookmarkEnd w:id="1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Наименование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19" w:name="sub_3032"/>
      <w:r>
        <w:rPr>
          <w:highlight w:val="white"/>
        </w:rPr>
      </w:r>
      <w:bookmarkEnd w:id="18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2.3.2.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аименование органа, предоставляющего муниципальную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0" w:name="sub_3033"/>
      <w:r>
        <w:rPr>
          <w:highlight w:val="white"/>
        </w:rPr>
      </w:r>
      <w:bookmarkEnd w:id="1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2.3.3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езультат предоставления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1" w:name="sub_3034"/>
      <w:r>
        <w:rPr>
          <w:highlight w:val="white"/>
        </w:rPr>
      </w:r>
      <w:bookmarkEnd w:id="2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Срок предоставления муниципальной услуги.</w:t>
      </w:r>
      <w:bookmarkEnd w:id="2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Размер платы, взимаемой с заявителя при предоставлении муниципальной услуги, и способы ее взимания.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2" w:name="sub_304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Максимальный срок ожидания в очереди при подаче заявителем запроса о предоставлении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3" w:name="sub_3041"/>
      <w:r>
        <w:rPr>
          <w:highlight w:val="white"/>
        </w:rPr>
      </w:r>
      <w:bookmarkEnd w:id="2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2.3.7.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Срок регистрации запроса заявителя о предоставлении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bookmarkStart w:id="24" w:name="sub_3042"/>
      <w:r>
        <w:rPr>
          <w:highlight w:val="white"/>
        </w:rPr>
      </w:r>
      <w:bookmarkEnd w:id="2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2.3.8. 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5" w:name="sub_3043"/>
      <w:r>
        <w:rPr>
          <w:highlight w:val="white"/>
        </w:rPr>
      </w:r>
      <w:bookmarkEnd w:id="2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2.3.9.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Показатели доступности и качества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6" w:name="sub_3044"/>
      <w:r>
        <w:rPr>
          <w:highlight w:val="white"/>
        </w:rPr>
      </w:r>
      <w:bookmarkEnd w:id="25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2.3.10.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2.3.11.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Исчерпывающий перечень документов, необходимых для предоставления муниципальной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Исчерпывающий перечень оснований для отказа в приеме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bookmarkEnd w:id="26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Подраздел «Наименование органа, предоставляющего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услугу» должен включать полное наименование органа, предоставляющего муниципальную услугу.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4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7" w:name="sub_101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Подраздел «Результат предоставления муниципальной услуги» должен включать следующие положения:</w:t>
      </w:r>
      <w:bookmarkEnd w:id="2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4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наименование результата (результатов) предоставления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указанием формы его предоставления, если результатом предоставления муниципальной  услуги является документ;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4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4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способов получения результата предоставления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28" w:name="sub_101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bookmarkStart w:id="29" w:name="sub_1015"/>
      <w:r>
        <w:rPr>
          <w:highlight w:val="white"/>
        </w:rPr>
      </w:r>
      <w:bookmarkEnd w:id="28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Подраздел «Ср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</w:t>
      </w:r>
      <w:bookmarkEnd w:id="29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учетом категории (признаков) заявителя и способа подачи указанного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 Подраздел «Исчерпывающий перечень оснований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услуги» должен включать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2.7.1.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2.7.2.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еречень оснований для приостановления предоставления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2.7.3.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еречень оснований для отказа в предо</w:t>
      </w:r>
      <w:bookmarkStart w:id="30" w:name="_GoBack"/>
      <w:r>
        <w:rPr>
          <w:highlight w:val="white"/>
        </w:rPr>
      </w:r>
      <w:bookmarkEnd w:id="3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ставлении муниципальной услуги, а в случае отсутствия таких оснований - указание на их отсутствие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Сведения о приведении в приложении к административному регламенту, указанному в </w:t>
      </w:r>
      <w:hyperlink r:id="rId15" w:tooltip="https://internet.garant.ru/#/document/483406659/entry/10341" w:anchor="/document/483406659/entry/10341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2.25. 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  <w:vertAlign w:val="superscript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 оснований, предусмотренных </w:t>
      </w:r>
      <w:hyperlink r:id="rId16" w:tooltip="https://internet.garant.ru/#/document/483406659/entry/10181" w:anchor="/document/483406659/entry/10181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подпунктами 2.7.1. - 2.7.3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.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пункта, с учетом категории (признаков) заявителя (при наличии таких оснований).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1" w:name="sub_102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подраздел «Размер платы, взимаемой с заявителя при предоставлении муниципальной услуги, и способы ее взимания» включаются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2" w:name="sub_3047"/>
      <w:r>
        <w:rPr>
          <w:highlight w:val="white"/>
        </w:rPr>
      </w:r>
      <w:bookmarkEnd w:id="3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3" w:name="sub_3048"/>
      <w:r>
        <w:rPr>
          <w:highlight w:val="white"/>
        </w:rPr>
      </w:r>
      <w:bookmarkEnd w:id="3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муниципальными правовыми актами.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4" w:name="sub_1021"/>
      <w:r>
        <w:rPr>
          <w:highlight w:val="white"/>
        </w:rPr>
      </w:r>
      <w:bookmarkEnd w:id="3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Подраздел «Требования к помещениям, в которых предоставляется муниципальная услуга»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включать сведения о размещении на официальном сайте органа, предоставляющего муниципальную услугу, а также на </w:t>
      </w:r>
      <w:hyperlink r:id="rId17" w:tooltip="https://www.gosuslugi.ru/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Едином портале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государственных и муниципальных услуг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5" w:name="sub_1022"/>
      <w:r>
        <w:rPr>
          <w:highlight w:val="white"/>
        </w:rPr>
      </w:r>
      <w:bookmarkEnd w:id="3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Подраздел «Показатели доступности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качества муниципальной услуги»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должен включать сведения о размещении на официальном сайте органа, предоставляющего муниципальную услугу, а также на </w:t>
      </w:r>
      <w:hyperlink r:id="rId18" w:tooltip="https://www.gosuslugi.ru/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Едином портале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государственных и муниципальных услуг перечня показателей качества и доступности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6" w:name="sub_1023"/>
      <w:r>
        <w:rPr>
          <w:highlight w:val="white"/>
        </w:rPr>
      </w:r>
      <w:bookmarkEnd w:id="35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подраздел «Иные требования к предоставлению муниципальной услуги»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7" w:name="sub_3049"/>
      <w:r>
        <w:rPr>
          <w:highlight w:val="white"/>
        </w:rPr>
      </w:r>
      <w:bookmarkEnd w:id="3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перечень услуг, которые являются необходимыми и обязательными для предоставления муниципальной услуги, или указание на их отсутствие;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8" w:name="sub_3050"/>
      <w:r>
        <w:rPr>
          <w:highlight w:val="white"/>
        </w:rPr>
      </w:r>
      <w:bookmarkEnd w:id="3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или отсутствие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платы за предоставление указанных в </w:t>
      </w:r>
      <w:hyperlink w:tooltip="#sub_3049" w:anchor="sub_3049" w:history="1">
        <w:r>
          <w:rPr>
            <w:rStyle w:val="909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1 настоящего пункта услу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 (при наличии таких услуг);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39" w:name="sub_3051"/>
      <w:r>
        <w:rPr>
          <w:highlight w:val="white"/>
        </w:rPr>
      </w:r>
      <w:bookmarkEnd w:id="38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перечень информационных систем, используемых для предоставления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лично;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возможность (невозможность) предоставления муниципальной услуги в многофункциональном центре, в том числе возможность (невозможность) приняти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возможность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</w:t>
      </w:r>
      <w:hyperlink r:id="rId19" w:tooltip="https://internet.garant.ru/#/document/483406659/entry/10343" w:anchor="/document/483406659/entry/1034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пункта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2.27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Порядка, с разделением на документы и информацию, которые заяви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</w:t>
      </w:r>
      <w:hyperlink r:id="rId20" w:tooltip="https://internet.garant.ru/#/document/483406659/entry/10233" w:anchor="/document/483406659/entry/1023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2.12.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4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  <w:vertAlign w:val="superscript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настоящих Правил, в качестве приложения к административному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 </w:t>
      </w:r>
      <w:hyperlink r:id="rId21" w:tooltip="https://internet.garant.ru/#/document/483406659/entry/10343" w:anchor="/document/483406659/entry/1034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м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2.27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  <w:vertAlign w:val="superscript"/>
          </w:rPr>
          <w:t xml:space="preserve">.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Форм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Президента Российской Федерации, Правительства Российской Федерации или иными нормативными правовыми актами.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0" w:name="sub_1024"/>
      <w:r>
        <w:rPr>
          <w:highlight w:val="white"/>
        </w:rPr>
      </w:r>
      <w:bookmarkEnd w:id="3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Раздел «Состав, последовательность и сроки выполнения административных процедур» определяет требования к порядку выполнения админ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1" w:name="sub_3052"/>
      <w:r>
        <w:rPr>
          <w:highlight w:val="white"/>
        </w:rPr>
      </w:r>
      <w:bookmarkEnd w:id="4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Описание каждой административной процедуры, осуществляемой при предоставлении муниципальной услуги, в случаях, указанных в </w:t>
      </w:r>
      <w:hyperlink r:id="rId22" w:tooltip="https://internet.garant.ru/#/document/37070930/entry/10213" w:anchor="/document/37070930/entry/1021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подпункте 2.1.3 пункта 2.1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настоящего Порядка.</w:t>
      </w:r>
      <w:bookmarkEnd w:id="4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указание на возможность предварительной подачи заяв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</w:t>
      </w:r>
      <w:hyperlink r:id="rId23" w:tooltip="https://internet.garant.ru/#/document/12177515/entry/7311" w:anchor="/document/12177515/entry/7311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1 части 1 статьи 7</w:t>
        </w:r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.3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210-ФЗ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r:id="rId24" w:tooltip="https://internet.garant.ru/#/document/483406659/entry/102443" w:anchor="/document/483406659/entry/102443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абзаце третьем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пункта.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приложении к административному регламенту приводятся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идентификаторы категорий (признаков) заявителей в соответствии с </w:t>
      </w:r>
      <w:hyperlink r:id="rId25" w:tooltip="https://internet.garant.ru/#/document/483406659/entry/10342" w:anchor="/document/483406659/entry/10342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пунктом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2.26.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2" w:name="sub_102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приема запроса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документов и (или) информации, необходимых для предоставления муниципальной услуги,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3" w:name="sub_3055"/>
      <w:r>
        <w:rPr>
          <w:highlight w:val="white"/>
        </w:rPr>
      </w:r>
      <w:bookmarkEnd w:id="4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сведения о приведении в приложении к админис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4" w:name="sub_3056"/>
      <w:r>
        <w:rPr>
          <w:highlight w:val="white"/>
        </w:rPr>
      </w:r>
      <w:bookmarkEnd w:id="4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способы установления личности заявителя (представителя заявителя);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5" w:name="sub_3057"/>
      <w:r>
        <w:rPr>
          <w:highlight w:val="white"/>
        </w:rPr>
      </w:r>
      <w:bookmarkEnd w:id="4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bookmarkStart w:id="46" w:name="sub_3058"/>
      <w:r>
        <w:rPr>
          <w:highlight w:val="white"/>
        </w:rPr>
      </w:r>
      <w:bookmarkEnd w:id="45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приведении в приложении к административному регламенту 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7" w:name="sub_3059"/>
      <w:r>
        <w:rPr>
          <w:highlight w:val="white"/>
        </w:rPr>
      </w:r>
      <w:bookmarkEnd w:id="46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bookmarkStart w:id="48" w:name="sub_3060"/>
      <w:r>
        <w:rPr>
          <w:highlight w:val="white"/>
        </w:rPr>
      </w:r>
      <w:bookmarkEnd w:id="4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возможность (невозможность) приема органом, предоставляющим муниципальную услугу, или многофункциональным центром запроса и документов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(или) информации, необходимых для предоставления муниципальной 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49" w:name="sub_3061"/>
      <w:r>
        <w:rPr>
          <w:highlight w:val="white"/>
        </w:rPr>
      </w:r>
      <w:bookmarkEnd w:id="48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highlight w:val="none"/>
        </w:rPr>
      </w:pPr>
      <w:r>
        <w:rPr>
          <w:highlight w:val="white"/>
        </w:rPr>
      </w:r>
      <w:bookmarkStart w:id="50" w:name="sub_1028"/>
      <w:r>
        <w:rPr>
          <w:highlight w:val="white"/>
        </w:rPr>
      </w:r>
      <w:bookmarkEnd w:id="4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межведомственного информационного взаимодействия включаются:</w:t>
      </w:r>
      <w:bookmarkEnd w:id="50"/>
      <w:r>
        <w:rPr>
          <w:highlight w:val="none"/>
        </w:rPr>
      </w:r>
      <w:r>
        <w:rPr>
          <w:highlight w:val="none"/>
        </w:rPr>
      </w:r>
    </w:p>
    <w:p>
      <w:pPr>
        <w:ind w:firstLine="709"/>
        <w:tabs>
          <w:tab w:val="left" w:pos="5670" w:leader="none"/>
        </w:tabs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наименование органа (организации), в который направляется информационный запрос (при наличии), наимен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твенной информационной системы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Единая система межведомственн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ого электронного взаимодействия»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1" w:name="sub_1029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приостановления предоставления муниципальной услуги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2" w:name="sub_3062"/>
      <w:r>
        <w:rPr>
          <w:highlight w:val="white"/>
        </w:rPr>
      </w:r>
      <w:bookmarkEnd w:id="5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приведении в приложении к административному регламенту оснований для приостановления предоставления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3" w:name="sub_3063"/>
      <w:r>
        <w:rPr>
          <w:highlight w:val="white"/>
        </w:rPr>
      </w:r>
      <w:bookmarkEnd w:id="5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состав и содержание осуществляемых при приостановлении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муниципальной услуги административных действий;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4" w:name="sub_3064"/>
      <w:r>
        <w:rPr>
          <w:highlight w:val="white"/>
        </w:rPr>
      </w:r>
      <w:bookmarkEnd w:id="5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перечень оснований для возобновления предоставления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5" w:name="sub_1030"/>
      <w:r>
        <w:rPr>
          <w:highlight w:val="white"/>
        </w:rPr>
      </w:r>
      <w:bookmarkEnd w:id="5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принятия решения о предоставлении (об отказе в предоставлении) муниципальной  услуги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bookmarkStart w:id="56" w:name="sub_3065"/>
      <w:r>
        <w:rPr>
          <w:highlight w:val="white"/>
        </w:rPr>
      </w:r>
      <w:bookmarkEnd w:id="55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7" w:name="sub_3066"/>
      <w:r>
        <w:rPr>
          <w:highlight w:val="white"/>
        </w:rPr>
      </w:r>
      <w:bookmarkEnd w:id="56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срок принятия решения о предоставлении (об отказе в предоставлении) муниципальной услуги, исчисляемый с даты получения органом, предоставляющим муниципальную услугу, всех сведений, необходимых для принятия решения.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8" w:name="sub_1031"/>
      <w:r>
        <w:rPr>
          <w:highlight w:val="white"/>
        </w:rPr>
      </w:r>
      <w:bookmarkEnd w:id="57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предоставления результата муниципальной услуги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59" w:name="sub_3067"/>
      <w:r>
        <w:rPr>
          <w:highlight w:val="white"/>
        </w:rPr>
      </w:r>
      <w:bookmarkEnd w:id="58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</w:t>
      </w:r>
      <w:bookmarkStart w:id="60" w:name="sub_3068"/>
      <w:r>
        <w:rPr>
          <w:highlight w:val="white"/>
        </w:rPr>
      </w:r>
      <w:bookmarkEnd w:id="59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 предоставления заявителю результата муниципальной услуги, исчисляемый со дня принятия реше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61" w:name="sub_3069"/>
      <w:r>
        <w:rPr>
          <w:highlight w:val="white"/>
        </w:rPr>
      </w:r>
      <w:bookmarkEnd w:id="60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возможность (невозможность) предоставления органом, предоставляющим муниципальну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ю услугу, или многофункциональным центром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62" w:name="sub_1032"/>
      <w:r>
        <w:rPr>
          <w:highlight w:val="white"/>
        </w:rPr>
      </w:r>
      <w:bookmarkEnd w:id="61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 получения дополнительных сведений от заявителя включаются следующие положения: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63" w:name="sub_3070"/>
      <w:r>
        <w:rPr>
          <w:highlight w:val="white"/>
        </w:rPr>
      </w:r>
      <w:bookmarkEnd w:id="62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основания для получения от заявителя дополнительных документов и (или) информации в процессе предоставления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highlight w:val="white"/>
        </w:rPr>
      </w:r>
      <w:bookmarkStart w:id="64" w:name="sub_3071"/>
      <w:r>
        <w:rPr>
          <w:highlight w:val="white"/>
        </w:rPr>
      </w:r>
      <w:bookmarkEnd w:id="63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срок, необходимый для получения таких документов и (или) информации;</w:t>
      </w:r>
      <w:bookmarkEnd w:id="64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56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перечень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органов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исполнительной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исполнительной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Краснодарского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участвующих в административной процедуре, в случае, если они известны (при необходимости).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предмет их соответствия 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наименование и продолжительность процедуры оценки;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субъекты, проводящие процедуру оценки;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объект (объекты) процедуры оценки;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место проведения процедуры оценки (при наличии);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наименование документа, являющегося результатом процедуры оценки (при наличии).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описание административной процедуры, предполагающей осуществляемое после принятия решения о 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способ распределения ограниченного ресурса;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наименование ограниченного ресурса;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продолжительность процедуры распределения ограниченного ресурса.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 раздел «Сп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Приложение к административному регламенту включает: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Перечень условных обозначений и сокращений.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Идентификаторы категорий (признаков) заявителей в табличной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Исчерпывающий перечень документов, необходимых для предоставления муниципальной услуги, в табличной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Исчерпывающий перечень оснований для отказа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Формы запроса о предоставлен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ии муниципальной услуги и документов, необходимых для предоставления муниципальной услуги в соответствии с </w:t>
      </w:r>
      <w:hyperlink r:id="rId26" w:tooltip="https://internet.garant.ru/#/document/483406659/entry/10233" w:anchor="/document/483406659/entry/10233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пунктом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2.12.4.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  <w:vertAlign w:val="superscript"/>
          </w:rPr>
          <w:t xml:space="preserve">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  <w:vertAlign w:val="superscript"/>
          </w:rPr>
          <w:t xml:space="preserve">.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Идентификаторы категорий (признаков) заявителей, указанные в </w:t>
      </w:r>
      <w:hyperlink r:id="rId27" w:tooltip="https://internet.garant.ru/#/document/483406659/entry/103412" w:anchor="/document/483406659/entry/103412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подпункте 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 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подпункте 2.25.2 пункта 2.25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Порядка, включают следующие взаимосвязанные сведения: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.1.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еречень результатов предоставления муниципальной услуги.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Перечень отдельных признаков заявителей.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Исчерпывающий перечень документов, необходимых для предоставления муниципальной услуги, указанный в </w:t>
      </w:r>
      <w:hyperlink r:id="rId28" w:tooltip="https://internet.garant.ru/#/document/483406659/entry/103413" w:anchor="/document/483406659/entry/103413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подпункте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 2.25.3 пункта 2.25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Порядка, включает следующие взаимосвязанные сведения: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.1.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</w:t>
      </w:r>
      <w:hyperlink r:id="rId29" w:tooltip="https://internet.garant.ru/#/document/483406659/entry/10342" w:anchor="/document/483406659/entry/10342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пунктом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2.26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Порядка, а также способы подачи таких документов и (или) информации.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Исчерпывающий перечень оснований для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 </w:t>
      </w:r>
      <w:hyperlink r:id="rId30" w:tooltip="https://internet.garant.ru/#/document/483406659/entry/103415" w:anchor="/document/483406659/entry/103415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подпункте 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2.25.4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 пункта 2.2</w:t>
        </w:r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r:id="rId31" w:tooltip="https://internet.garant.ru/#/document/483406659/entry/10342" w:anchor="/document/483406659/entry/10342" w:history="1"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2.26</w:t>
        </w:r>
        <w:r>
          <w:rPr>
            <w:rStyle w:val="922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настоящего Порядка: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.2.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еречень оснований для приостановления предоставления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.3.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еречень оснований для отказа в предоставлении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09"/>
        <w:rPr>
          <w:rFonts w:ascii="Times New Roman" w:hAnsi="Times New Roman" w:cs="Times New Roman"/>
          <w:color w:val="auto"/>
          <w:sz w:val="44"/>
          <w:szCs w:val="4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44"/>
          <w:szCs w:val="44"/>
          <w:highlight w:val="white"/>
        </w:rPr>
      </w:r>
      <w:r>
        <w:rPr>
          <w:rFonts w:ascii="Times New Roman" w:hAnsi="Times New Roman" w:cs="Times New Roman"/>
          <w:color w:val="auto"/>
          <w:sz w:val="44"/>
          <w:szCs w:val="44"/>
          <w:highlight w:val="white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 Порядок согласования и утверждения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административных регламентов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3.1. Разработка, согласование и утверждение проектов административных регламентов осуществляется в реестре услуг (при наличии технической возможности) или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бумажном носителе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струкцией по делопроизводству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дминистрации, утвержден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ной распоряжением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дминистрации, за исключением особенностей, 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тановленных настоящим Порядком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Проект административного регламента формируется органом, предоставляющим муниципальные услуги, в порядке, предусмотренном                                   пунктом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раздела I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Порядка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электронном виде в реестре услуг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Органы, участвующие в согласовании, вносятся в составленный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регламентов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подлежат независимой экспертизе и экспертизе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проводимой  юридическим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отделом Администрации (далее-Уполномоченный орган).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.5. Экспертиза проектов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административных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регламентов проводится в порядке, предусмотренном настоящим Порядком.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3.6. Предметом экспертизы являются: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а) соответствие проектов административных регламентов требованиям пунктов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астоящего Порядка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                  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 сети Интернет.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 являющийся приложением к листу согласования.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После рассмотрения проекта административного регламен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орган, предоставляющий муниципальную услугу, рассматривает поступившие замечания.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Решение о возможности учета заключений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 результатам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Федеральным законом от 17 июля 2009 г. № 172-ФЗ        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 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 антикоррупционной экспертизе нормативных правовых актов и проектов нормативных правовых актов».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муниципальную  услугу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в срок, не превышающий 5 рабочих дней, вносит с учетом полученных замечаний изменения в сведения о муниципальной услуге 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направляет указанный проект административного регламента на повторное согласование органам, участвующим в согласовании.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наличии возражений к замечаниям орган, предоставляющий муниципальную услугу, вправе инициировать процедуру урегулирования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случае несогласия с возражениями, представленными органом, предоставляющим муниципаль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Орган, предоставляющий муниципальную услугу, после повторного отказа органа, участвующего в согласован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Утверждение административного регламента производится посредством его подписания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реестре услуг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на бумажном носителе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Согласованные проекты административных регламентов направляютс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 органами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дминистрации, предоставляющими муниципальные услуги, для регистрации в порядке установленном Инструкцией по делопроизводству Администрации. После регистрации проекта административного регламента,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орган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дминистрации, предоставляющий муниципальные услуги направляет его для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последующего официального опубликования в порядке установленном Уставом Ленинградского муниципального округа.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При наличии оснований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ля внесения изменений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ад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министративный регламент либо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признания административного регламента утратившим силу,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орган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дминистрации, предоставляющий муниципальную услугу, разрабатывает и утверждает  соответствующий нормативный правовой акт  в соответствии с действующим законодательством РФ и настоящим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Порядком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3.16. После утверждения админист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ративного регламента, муниципальная услуга подлежит включению в реестр муниципальных услуг, оказываемых отраслевыми) функциональными и территориальными органами Администрации и размещению в Реестре государственных и муниципальных услуг Краснодарского края.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:lang w:val="en-US"/>
        </w:rPr>
        <w:t xml:space="preserve">IV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. Особенности проведения независимой экспертизы проектов административных регламентов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44"/>
          <w:szCs w:val="44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Предметом независимой экспертизы проектов административных регламентов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- независимая экспертиза) является оценка возможного положительного эффекта, а также возможных негативных последствий реализации положений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указанных проектов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граждан и организаций.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Независимая экс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пертиза может проводиться физическими и юридическими лицами (далее - независимые эксперты) в инициативном порядке за счет собственных сре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дств. Независимая экспертиза не может проводи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ться физическими и юридическими лицами, принимавшими участие в разработке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административных регламентов,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проект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ов изменений в административные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регламент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проект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ов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 признании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административных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егламентов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утратившим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zh-TW"/>
        </w:rPr>
        <w:t xml:space="preserve"> силу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 также организациями, находящимися в ведении органа, предоставляющего муниципальную  услугу.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Срок для проведения независимой экспертизы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указанных проектов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не может быть менее пятнадцати дней со дня его размещения на официальном сайте </w:t>
      </w:r>
      <w:hyperlink r:id="rId32" w:tooltip="http://regulation.krasnodar.ru/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adminlenkub.ru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 результатам независимой экспертизы независимым экспертом составляется заключение, которое направляется в орган, предоставляющий муницип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альную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 услуг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у. Орган, предоставляющий муниципальную услугу, обязан рассмотреть поступившие заключения независимых экспертов и принять решение по результатам каждой независимой экспертизы в течение 30 (тридцати) дней со дня поступления заключений независимых экспертов.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4.2. В течение трех дней со дня поступления заключения независимой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экспертизы орга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н, предоставляющий муниципальную  услугу, размещает его на официальном сайте </w:t>
      </w:r>
      <w:hyperlink r:id="rId33" w:tooltip="http://regulation.krasnodar.ru/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adminlenkub.ru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в информационно-телек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оммуникационной сети «Интернет»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4.3. В течение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30 (тридцати)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дней со дня поступления заключения независимой экспертизы орган, предоставляющий муниципальную  услугу: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рассматривает заключение независимой экспертизы, поступившее в соответствии с </w:t>
      </w:r>
      <w:hyperlink r:id="rId34" w:tooltip="https://internet.garant.ru/#/document/405418881/entry/1041" w:anchor="/document/405418881/entry/1041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пунктом 4.1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настоящего Порядка;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вносит в проект админист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ративного регламента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соответствующие изменения либо готовит мотивированный ответ об отказе в учете замечаний, содержащихся в заключении независимой экспертизы;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уведомляет независимого эксперта, направившего соответствующее заключение, о внесении изменений в проект административного регламента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либо об отказе в учете замечаний, содержащихся в заключении независимого эксперта, с указанием мотивированных причин отказа;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размещает проект административного регламента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 изменениями, внесенными по результатам рассмотрения заключения независимой экспертизы, либо мотивированный ответ об отказе в учете замечаний, содержащихся в заключении независимой экспертизы на официальном сай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те </w:t>
      </w:r>
      <w:hyperlink r:id="rId35" w:tooltip="http://regulation.krasnodar.ru/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</w:rPr>
          <w:t xml:space="preserve">adminlenkub.ru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в информационно-телек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оммуникационной сети «Интернет»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4.4. Непоступление заключений независимой экспертизы в орган, предоставляющий муниципальную  услугу, не является препятствием для проведения экспертизы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уполномоченным органом Администрации.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Заместитель главы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Ленинградского муниципального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округа, начальник финансового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управления администрации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ab/>
        <w:t xml:space="preserve">                                  С.В. Тертица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firstLine="709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outlineLvl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98476361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27"/>
    <w:next w:val="727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727"/>
    <w:next w:val="72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727"/>
    <w:next w:val="72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727"/>
    <w:next w:val="72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727"/>
    <w:next w:val="72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727"/>
    <w:next w:val="72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28"/>
    <w:link w:val="749"/>
    <w:uiPriority w:val="10"/>
    <w:rPr>
      <w:sz w:val="48"/>
      <w:szCs w:val="48"/>
    </w:rPr>
  </w:style>
  <w:style w:type="character" w:styleId="700">
    <w:name w:val="Subtitle Char"/>
    <w:basedOn w:val="728"/>
    <w:link w:val="751"/>
    <w:uiPriority w:val="11"/>
    <w:rPr>
      <w:sz w:val="24"/>
      <w:szCs w:val="24"/>
    </w:rPr>
  </w:style>
  <w:style w:type="character" w:styleId="701">
    <w:name w:val="Quote Char"/>
    <w:link w:val="753"/>
    <w:uiPriority w:val="29"/>
    <w:rPr>
      <w:i/>
    </w:rPr>
  </w:style>
  <w:style w:type="character" w:styleId="702">
    <w:name w:val="Intense Quote Char"/>
    <w:link w:val="755"/>
    <w:uiPriority w:val="30"/>
    <w:rPr>
      <w:i/>
    </w:rPr>
  </w:style>
  <w:style w:type="paragraph" w:styleId="703">
    <w:name w:val="Header"/>
    <w:basedOn w:val="727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Footer"/>
    <w:basedOn w:val="72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5">
    <w:name w:val="Caption"/>
    <w:basedOn w:val="727"/>
    <w:next w:val="727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6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4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5">
    <w:name w:val="Footnote Text Char"/>
    <w:link w:val="887"/>
    <w:uiPriority w:val="99"/>
    <w:rPr>
      <w:sz w:val="18"/>
    </w:rPr>
  </w:style>
  <w:style w:type="character" w:styleId="726">
    <w:name w:val="Endnote Text Char"/>
    <w:link w:val="890"/>
    <w:uiPriority w:val="99"/>
    <w:rPr>
      <w:sz w:val="20"/>
    </w:rPr>
  </w:style>
  <w:style w:type="paragraph" w:styleId="727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uiPriority w:val="9"/>
    <w:rPr>
      <w:rFonts w:ascii="Arial" w:hAnsi="Arial" w:eastAsia="Arial" w:cs="Arial"/>
      <w:sz w:val="34"/>
    </w:rPr>
  </w:style>
  <w:style w:type="paragraph" w:styleId="733" w:customStyle="1">
    <w:name w:val="Заголовок 31"/>
    <w:basedOn w:val="727"/>
    <w:next w:val="727"/>
    <w:link w:val="734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character" w:styleId="734" w:customStyle="1">
    <w:name w:val="Heading 3 Char"/>
    <w:basedOn w:val="728"/>
    <w:link w:val="733"/>
    <w:uiPriority w:val="9"/>
    <w:rPr>
      <w:rFonts w:ascii="Arial" w:hAnsi="Arial" w:eastAsia="Arial" w:cs="Arial"/>
      <w:sz w:val="30"/>
      <w:szCs w:val="30"/>
    </w:rPr>
  </w:style>
  <w:style w:type="paragraph" w:styleId="735" w:customStyle="1">
    <w:name w:val="Заголовок 41"/>
    <w:basedOn w:val="727"/>
    <w:next w:val="727"/>
    <w:link w:val="736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character" w:styleId="736" w:customStyle="1">
    <w:name w:val="Heading 4 Char"/>
    <w:basedOn w:val="728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 w:customStyle="1">
    <w:name w:val="Заголовок 51"/>
    <w:basedOn w:val="727"/>
    <w:next w:val="727"/>
    <w:link w:val="738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</w:rPr>
  </w:style>
  <w:style w:type="character" w:styleId="738" w:customStyle="1">
    <w:name w:val="Heading 5 Char"/>
    <w:basedOn w:val="728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 w:customStyle="1">
    <w:name w:val="Заголовок 61"/>
    <w:basedOn w:val="727"/>
    <w:next w:val="727"/>
    <w:link w:val="740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styleId="740" w:customStyle="1">
    <w:name w:val="Heading 6 Char"/>
    <w:basedOn w:val="728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 w:customStyle="1">
    <w:name w:val="Заголовок 71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styleId="742" w:customStyle="1">
    <w:name w:val="Heading 7 Char"/>
    <w:basedOn w:val="728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 w:customStyle="1">
    <w:name w:val="Заголовок 81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styleId="744" w:customStyle="1">
    <w:name w:val="Heading 8 Char"/>
    <w:basedOn w:val="728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 w:customStyle="1">
    <w:name w:val="Заголовок 91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46" w:customStyle="1">
    <w:name w:val="Heading 9 Char"/>
    <w:basedOn w:val="728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27"/>
    <w:next w:val="72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basedOn w:val="728"/>
    <w:link w:val="749"/>
    <w:uiPriority w:val="10"/>
    <w:rPr>
      <w:sz w:val="48"/>
      <w:szCs w:val="48"/>
    </w:rPr>
  </w:style>
  <w:style w:type="paragraph" w:styleId="751">
    <w:name w:val="Subtitle"/>
    <w:basedOn w:val="727"/>
    <w:next w:val="727"/>
    <w:link w:val="752"/>
    <w:uiPriority w:val="11"/>
    <w:qFormat/>
    <w:pPr>
      <w:spacing w:before="200" w:after="200"/>
    </w:pPr>
  </w:style>
  <w:style w:type="character" w:styleId="752" w:customStyle="1">
    <w:name w:val="Подзаголовок Знак"/>
    <w:basedOn w:val="728"/>
    <w:link w:val="751"/>
    <w:uiPriority w:val="11"/>
    <w:rPr>
      <w:sz w:val="24"/>
      <w:szCs w:val="24"/>
    </w:rPr>
  </w:style>
  <w:style w:type="paragraph" w:styleId="753">
    <w:name w:val="Quote"/>
    <w:basedOn w:val="727"/>
    <w:next w:val="727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7"/>
    <w:next w:val="727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28"/>
    <w:uiPriority w:val="99"/>
  </w:style>
  <w:style w:type="character" w:styleId="758" w:customStyle="1">
    <w:name w:val="Footer Char"/>
    <w:basedOn w:val="728"/>
    <w:uiPriority w:val="99"/>
  </w:style>
  <w:style w:type="paragraph" w:styleId="759" w:customStyle="1">
    <w:name w:val="Название объекта1"/>
    <w:basedOn w:val="727"/>
    <w:next w:val="727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basedOn w:val="728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"/>
    <w:basedOn w:val="7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 w:customStyle="1">
    <w:name w:val="Таблица простая 11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21"/>
    <w:basedOn w:val="7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3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Таблица простая 4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Таблица простая 5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1 светл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-сетка 2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3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Таблица-сетка 5 тем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Таблица-сетка 6 цвет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Таблица-сетка 7 цвет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Список-таблица 1 светлая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2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Список-таблица 3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Список-таблица 4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5 тем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Список-таблица 6 цвет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 w:customStyle="1">
    <w:name w:val="Список-таблица 7 цветная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7">
    <w:name w:val="footnote text"/>
    <w:basedOn w:val="727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28"/>
    <w:uiPriority w:val="99"/>
    <w:unhideWhenUsed/>
    <w:rPr>
      <w:vertAlign w:val="superscript"/>
    </w:rPr>
  </w:style>
  <w:style w:type="paragraph" w:styleId="890">
    <w:name w:val="endnote text"/>
    <w:basedOn w:val="727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28"/>
    <w:uiPriority w:val="99"/>
    <w:semiHidden/>
    <w:unhideWhenUsed/>
    <w:rPr>
      <w:vertAlign w:val="superscript"/>
    </w:rPr>
  </w:style>
  <w:style w:type="paragraph" w:styleId="893">
    <w:name w:val="toc 1"/>
    <w:basedOn w:val="727"/>
    <w:next w:val="727"/>
    <w:uiPriority w:val="39"/>
    <w:unhideWhenUsed/>
    <w:pPr>
      <w:ind w:firstLine="0"/>
      <w:spacing w:after="57"/>
    </w:pPr>
  </w:style>
  <w:style w:type="paragraph" w:styleId="894">
    <w:name w:val="toc 2"/>
    <w:basedOn w:val="727"/>
    <w:next w:val="727"/>
    <w:uiPriority w:val="39"/>
    <w:unhideWhenUsed/>
    <w:pPr>
      <w:ind w:left="283" w:firstLine="0"/>
      <w:spacing w:after="57"/>
    </w:pPr>
  </w:style>
  <w:style w:type="paragraph" w:styleId="895">
    <w:name w:val="toc 3"/>
    <w:basedOn w:val="727"/>
    <w:next w:val="727"/>
    <w:uiPriority w:val="39"/>
    <w:unhideWhenUsed/>
    <w:pPr>
      <w:ind w:left="567" w:firstLine="0"/>
      <w:spacing w:after="57"/>
    </w:pPr>
  </w:style>
  <w:style w:type="paragraph" w:styleId="896">
    <w:name w:val="toc 4"/>
    <w:basedOn w:val="727"/>
    <w:next w:val="727"/>
    <w:uiPriority w:val="39"/>
    <w:unhideWhenUsed/>
    <w:pPr>
      <w:ind w:left="850" w:firstLine="0"/>
      <w:spacing w:after="57"/>
    </w:pPr>
  </w:style>
  <w:style w:type="paragraph" w:styleId="897">
    <w:name w:val="toc 5"/>
    <w:basedOn w:val="727"/>
    <w:next w:val="727"/>
    <w:uiPriority w:val="39"/>
    <w:unhideWhenUsed/>
    <w:pPr>
      <w:ind w:left="1134" w:firstLine="0"/>
      <w:spacing w:after="57"/>
    </w:pPr>
  </w:style>
  <w:style w:type="paragraph" w:styleId="898">
    <w:name w:val="toc 6"/>
    <w:basedOn w:val="727"/>
    <w:next w:val="727"/>
    <w:uiPriority w:val="39"/>
    <w:unhideWhenUsed/>
    <w:pPr>
      <w:ind w:left="1417" w:firstLine="0"/>
      <w:spacing w:after="57"/>
    </w:pPr>
  </w:style>
  <w:style w:type="paragraph" w:styleId="899">
    <w:name w:val="toc 7"/>
    <w:basedOn w:val="727"/>
    <w:next w:val="727"/>
    <w:uiPriority w:val="39"/>
    <w:unhideWhenUsed/>
    <w:pPr>
      <w:ind w:left="1701" w:firstLine="0"/>
      <w:spacing w:after="57"/>
    </w:pPr>
  </w:style>
  <w:style w:type="paragraph" w:styleId="900">
    <w:name w:val="toc 8"/>
    <w:basedOn w:val="727"/>
    <w:next w:val="727"/>
    <w:uiPriority w:val="39"/>
    <w:unhideWhenUsed/>
    <w:pPr>
      <w:ind w:left="1984" w:firstLine="0"/>
      <w:spacing w:after="57"/>
    </w:pPr>
  </w:style>
  <w:style w:type="paragraph" w:styleId="901">
    <w:name w:val="toc 9"/>
    <w:basedOn w:val="727"/>
    <w:next w:val="727"/>
    <w:uiPriority w:val="39"/>
    <w:unhideWhenUsed/>
    <w:pPr>
      <w:ind w:left="2268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27"/>
    <w:next w:val="727"/>
    <w:uiPriority w:val="99"/>
    <w:unhideWhenUsed/>
  </w:style>
  <w:style w:type="paragraph" w:styleId="904" w:customStyle="1">
    <w:name w:val="Заголовок 11"/>
    <w:basedOn w:val="727"/>
    <w:next w:val="727"/>
    <w:link w:val="90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paragraph" w:styleId="905" w:customStyle="1">
    <w:name w:val="Заголовок 21"/>
    <w:basedOn w:val="727"/>
    <w:next w:val="727"/>
    <w:link w:val="91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6" w:customStyle="1">
    <w:name w:val="Заголовок 1 Знак"/>
    <w:basedOn w:val="728"/>
    <w:link w:val="904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907" w:customStyle="1">
    <w:name w:val="Гипертекстовая ссылка"/>
    <w:basedOn w:val="728"/>
    <w:uiPriority w:val="99"/>
    <w:rPr>
      <w:rFonts w:cs="Times New Roman"/>
      <w:color w:val="106bbe"/>
    </w:rPr>
  </w:style>
  <w:style w:type="character" w:styleId="908" w:customStyle="1">
    <w:name w:val="Не вступил в силу"/>
    <w:basedOn w:val="728"/>
    <w:uiPriority w:val="99"/>
    <w:rPr>
      <w:rFonts w:cs="Times New Roman"/>
      <w:color w:val="000000"/>
      <w:shd w:val="clear" w:color="auto" w:fill="d8ede8"/>
    </w:rPr>
  </w:style>
  <w:style w:type="character" w:styleId="909">
    <w:name w:val="Hyperlink"/>
    <w:basedOn w:val="728"/>
    <w:uiPriority w:val="99"/>
    <w:unhideWhenUsed/>
    <w:rPr>
      <w:rFonts w:cs="Times New Roman"/>
      <w:color w:val="0000ff" w:themeColor="hyperlink"/>
      <w:u w:val="single"/>
    </w:rPr>
  </w:style>
  <w:style w:type="character" w:styleId="910" w:customStyle="1">
    <w:name w:val="Заголовок 2 Знак"/>
    <w:basedOn w:val="728"/>
    <w:link w:val="90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911" w:customStyle="1">
    <w:name w:val="Верхний колонтитул1"/>
    <w:basedOn w:val="727"/>
    <w:link w:val="9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728"/>
    <w:link w:val="911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13" w:customStyle="1">
    <w:name w:val="Нижний колонтитул1"/>
    <w:basedOn w:val="727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728"/>
    <w:link w:val="913"/>
    <w:uiPriority w:val="99"/>
    <w:rPr>
      <w:rFonts w:ascii="Arial" w:hAnsi="Arial" w:cs="Arial" w:eastAsiaTheme="minorEastAsia"/>
      <w:sz w:val="24"/>
      <w:szCs w:val="24"/>
      <w:lang w:eastAsia="ru-RU"/>
    </w:rPr>
  </w:style>
  <w:style w:type="paragraph" w:styleId="915">
    <w:name w:val="Balloon Text"/>
    <w:basedOn w:val="727"/>
    <w:link w:val="91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basedOn w:val="728"/>
    <w:link w:val="915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paragraph" w:styleId="917" w:customStyle="1">
    <w:name w:val="s_3"/>
    <w:basedOn w:val="727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18">
    <w:name w:val="Normal (Web)"/>
    <w:basedOn w:val="727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19" w:customStyle="1">
    <w:name w:val="s_1"/>
    <w:basedOn w:val="727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paragraph" w:styleId="920" w:customStyle="1">
    <w:name w:val="Заголовок 11"/>
    <w:uiPriority w:val="99"/>
    <w:qFormat/>
    <w:pPr>
      <w:jc w:val="center"/>
      <w:spacing w:before="108" w:after="108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921" w:customStyle="1">
    <w:name w:val="ConsPlu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character" w:styleId="922" w:customStyle="1">
    <w:name w:val="Гиперссылка1"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garantF1://12077515.0" TargetMode="External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www.gosuslugi.ru/" TargetMode="External"/><Relationship Id="rId18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32" Type="http://schemas.openxmlformats.org/officeDocument/2006/relationships/hyperlink" Target="http://regulation.krasnodar.ru/" TargetMode="External"/><Relationship Id="rId33" Type="http://schemas.openxmlformats.org/officeDocument/2006/relationships/hyperlink" Target="http://regulation.krasnodar.ru/" TargetMode="External"/><Relationship Id="rId34" Type="http://schemas.openxmlformats.org/officeDocument/2006/relationships/hyperlink" Target="https://internet.garant.ru/" TargetMode="External"/><Relationship Id="rId35" Type="http://schemas.openxmlformats.org/officeDocument/2006/relationships/hyperlink" Target="http://regulation.krasnoda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B304-A44A-4B94-90DB-2CB1FDF4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revision>39</cp:revision>
  <dcterms:created xsi:type="dcterms:W3CDTF">2021-12-23T09:44:00Z</dcterms:created>
  <dcterms:modified xsi:type="dcterms:W3CDTF">2025-10-01T07:21:13Z</dcterms:modified>
</cp:coreProperties>
</file>