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Отчет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о работе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К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онтрольно-счетной палаты муниципального образования Ленинградский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муниципальный округ Краснодарского края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за 20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год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851"/>
        <w:jc w:val="both"/>
        <w:widowControl w:val="off"/>
        <w:rPr>
          <w:rFonts w:ascii="FreeSerif" w:hAnsi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Отчёт о деятельности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К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онтрольно-счётной палаты муниципального образования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муниципальный округ Краснодарского края 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         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( далее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Контрольно-счетная палата )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за 20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год представляется на рассмотрение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Совета муниципального образования 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муниципальный округ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во исполнение </w:t>
      </w:r>
      <w:hyperlink r:id="rId11" w:tooltip="consultantplus://offline/ref=FD4EC6B33E263625F082102B56983E0C9996CC1A13DA93534E5CC9C6F5CC402AC92CBA94E67D53A2wDFEU" w:history="1">
        <w:r>
          <w:rPr>
            <w:rStyle w:val="700"/>
            <w:rFonts w:ascii="FreeSerif" w:hAnsi="FreeSerif" w:eastAsia="FreeSerif" w:cs="FreeSerif"/>
            <w:b w:val="0"/>
            <w:bCs w:val="0"/>
            <w:i w:val="0"/>
            <w:iCs w:val="0"/>
            <w:color w:val="auto"/>
            <w:spacing w:val="-2"/>
            <w:sz w:val="28"/>
            <w:szCs w:val="28"/>
            <w:highlight w:val="white"/>
            <w:u w:val="none"/>
          </w:rPr>
          <w:t xml:space="preserve">статьи 19</w:t>
        </w:r>
      </w:hyperlink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Федерального закона от 07.02.2011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г.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№ 6-ФЗ «Об общих принципах организации и деятельности контрольно-счётных органов субъектов Российской Федерац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ии и муниципальных образований»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, </w:t>
      </w:r>
      <w:hyperlink r:id="rId12" w:tooltip="consultantplus://offline/ref=FD4EC6B33E263625F0820E2640F461069F989B101ED89F061B03929BA2C54A7D8E63E3D6A27053AADDEC42w2FFU" w:history="1">
        <w:r>
          <w:rPr>
            <w:rStyle w:val="700"/>
            <w:rFonts w:ascii="FreeSerif" w:hAnsi="FreeSerif" w:eastAsia="FreeSerif" w:cs="FreeSerif"/>
            <w:b w:val="0"/>
            <w:bCs w:val="0"/>
            <w:i w:val="0"/>
            <w:iCs w:val="0"/>
            <w:color w:val="auto"/>
            <w:spacing w:val="-2"/>
            <w:sz w:val="28"/>
            <w:szCs w:val="28"/>
            <w:highlight w:val="white"/>
            <w:u w:val="none"/>
          </w:rPr>
          <w:t xml:space="preserve">статьи </w:t>
        </w:r>
      </w:hyperlink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20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Положения о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К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онтрольно-счётной палате муниципального образования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, утверждённого решением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Совета муниципального образования 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район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от 2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8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.1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0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.201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1г.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 №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60 (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с изм. от  28.1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.202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г. №76)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pacing w:val="-2"/>
          <w:sz w:val="28"/>
          <w:szCs w:val="28"/>
          <w:highlight w:val="white"/>
        </w:rPr>
      </w:r>
    </w:p>
    <w:p>
      <w:pPr>
        <w:contextualSpacing/>
        <w:ind w:firstLine="851"/>
        <w:jc w:val="both"/>
        <w:widowControl w:val="off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представленном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отчёте отражены основные направления деятельности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онтрольно-счетной палаты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Ленинградск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ого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муниципального округа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году, информация о количестве проведённых контрольных и экспертно-аналитических мероприятий, их общих результатах, о принятых объектами проверок мерах по устранению выявленных нарушений и недостатков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851"/>
        <w:jc w:val="both"/>
        <w:widowControl w:val="off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классификации нарушений использован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лассификатор нарушений,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выявляемых в ходе внешнего муниципального финансового контроля в Краснодарском крае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 26.05.2023 года,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утверждё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нный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 XI Конференции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Совета муниципальных контрольно-счётн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ых органов Краснодарского края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851"/>
        <w:jc w:val="both"/>
        <w:widowControl w:val="off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отчете отражены итоги организационной и информационной деятельности, а также приоритетные направления деятельности палаты в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Контрольно-счетная палата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являясь постоянно действующим органом внешнего муниципального финансового контроля,  с организационной и функциональной независимостью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осуществляет свою деятельность на основе принципов законности, независимо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сти, объективности и гласности, подотчетна Совету муниципального образования Ленинградский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муниципальный округ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Отчет является одной из форм реализации принципа гласности, который ежегодно представляется в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Совет муниципального образования Ленинградский район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 главе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муниципального образования Ленинградский район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а также подлежит размещению в сети  Интернет  в целях обеспечения доступа к информации о своей деятельности .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Структура палаты утверждена решением Совета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муниципального образования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Ленинградский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муниципальный округ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от 1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2.202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г. №1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20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составе председателя и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трех инспекторов,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штатная численность палаты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составляет 4 человека, фактически во втором полугодии 2024 года в штате работало 2 человека.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1. Основные итоги работы в отчетном году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Всего в отчетном периоде было проведено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0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мероприятий , 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контрольн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19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экспертно-аналитических ,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21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мероприяти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проведен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с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элементами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аудит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 в сфере закупок.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ab/>
        <w:t xml:space="preserve">  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Объектами контроля  являлись  структурные и отраслевые подразделения администрации муниципального образования Ленинградский район, администрации сельских поселений, муниципальные учреждения, всего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42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объект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а ( объекты учитываются столько раз, сколько являлись объектами проверки)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Объем проверенных средств в рамках контрольных мероприятий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составил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4567518,2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ff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в том числе включая внешнюю проверку отчета об исполнении бюджета главных распорядителей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3706354,8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Объем проверенных средств в рамках экспертно-аналитических мероприятий   -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11634714,1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 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том числе проект муниципального бюджета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8420900,8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годовая отчетность по муниципальному бюджету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3029997,3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годовая отчетность по бюджета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поселений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545186,6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Всего за отчетный период в результате контрольной и экспертно-аналитической деятельности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основными показателями деятельности 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классификатором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установлено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452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нарушений требований законодательных и иных правовых актов РФ и Краснодарского края, а так же недоста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тков в работе объектов контроля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в отчете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с учетом критериев отражения нарушений).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Следует отметить, что в актах проверок и заключениях отражены факты нарушений и недостатков, которые не отражены в основных показателях деятельности, критерии применялись только для отчетности.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За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основными показателями деятельности,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в результате проверок выявлены различные нарушения и недостатки в работе на общую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384973,0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тыс.рублей, в том числе: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нарушения в ходе формирования бюджета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309734,4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тыс.рублей;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нарушения в ходе и исполнения бюджетов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94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 на сумму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3267,9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тыс.рублей;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нарушения порядка ведения бухгалтерского учета, составления и предоставления бухгалтерской ( финансовой) отчетности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155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64869,5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тыс.рублей;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нарушения в сфере управления и распоряжения муниципальной собственностью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факта на сумму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1305,2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 рублей;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- нарушения при осуществлении муниципальных закупок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110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на сумму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5796,2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  <w:t xml:space="preserve">Структура выявленных нарушений на протяжении нескольких лет меняется в зависимости от тематики проведенных контрольных мероприятий.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  <w:t xml:space="preserve">В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 наибольший удельный вес составили нарушения выявленные при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формировании проекта бюджета,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при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проверке отчетов об исполнении бюджетов, предоставление недостоверной отчетности, нарушение формирования и порядка использования дорожных фондов, нарушение порядка учета имущества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Направлено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представлений палаты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12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исполнены объек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тами контроля в полном объеме, 1 находится на контроле , 2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предписани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я  исполнены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Устранено финансовых нарушений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115,7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рублей, в том числе возвращено в бюджет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30,6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доначислено и выплачено зарплаты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85,1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Возвращено в бюджет по мероприятиям прошлых лет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878,8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Устранено нарушений порядка ведения бухучета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64003,1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в том числе повлиявших на достоверность отчетности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64003,1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Стоимость имущества, по которому устранены нарушения порядка управления и распоряжения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1305,2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Сельские поселения увеличили суммы дорожных фондов 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4544,6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рублей. Работодателями 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ривлечено к дисциплинарной ответственности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человек, возбуждено 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административных дел, 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материал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направлен в УФАС и 1 в ДФБН КК,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 административной ответственности привлечено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должностных лиц,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юридическ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лиц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назна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чено шт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рафов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187664,71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рублей, оплачено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91332,35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2. Результаты контрольных мероприятий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9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2.1 Общие результаты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9"/>
        <w:jc w:val="center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Проведено 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мероприяти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ходе которых контролем охвачено бюджетных средств в объеме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4567518,3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рублей,  из них в ходе: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внешней проверки годовой отчетности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3706354,8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тематических контрольных мероприятий-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861163,5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Проверено соблюдение порядка управления и распоряжения муниципальным имуществом общей стоимостью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67500,8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Тематические мероприятия проведены на объектах социальной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сферы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Из общего объема нарушений, выявленных контрольными мероприятиями 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36171,5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 наибольший удельный вес в денежном выражении занимают нарушения в учете и отчетности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40,5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%) , нарушения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действующего законодательства 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35,3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%) , порядка управления и распоряжения муниципальным имуществом 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16,0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%) , доля финансовых нарушений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8,1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%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2938,7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 финансовым нарушениям отнесены: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включения  в оклады (должностные оклады) ежемесячной денежной компенсации на обеспечение книгоиздательской продукции и периодическими изданиями  на сумму 78,1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1 факт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объема завышенных бюджетных обязательств, принятых сверх утвержденных бюджетных ассигнований на сумму 1776,6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19 фактов необоснованного расхода ГСМ на сумму 30,7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1 факт оплаты за охрану объекта, не состоящего на балансе на сумму 602,3 тыс. рублей, 1 факт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неправомерно начислена и выплачена заработная плата сотруднику, работавшего без необходимой квалификации на занимаемой им должности в сумме 451,0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Объектами контроля допущено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учете и отчетности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повлиявших на достоверность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отчетности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14652,8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в том числе нарушение требований, предъявляемых к оформлению фактов хозяйственной жизни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нарушений  4 на сумму 12463,4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требований, предъявляемых к оформлению и ведению регистров бухгалтерского учета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3 на сумму 1693,8 тыс. рублей,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требований, предъявляемых к проведению  и документальному оформлению результатов инвентаризации активов и обязательств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1,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требований, предъявляемых к применению правил ведения  бюджетного (бухгалтерского)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20 на сумму 165,4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Кроме того в актах проверок отражены 122 факта нар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ушения установленных единых требований к  ведению бухучета , которые не повлекли за собой  искажение бухгалтерской отчетности, убытки, недопоступления , избыточные расходы  и не нашли отражения в основных показателях деятельности контрольно-счетной палаты.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ходе контрольных мероприятий установлено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110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нарушений законодательства о контрактной системе в сфере закупок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5796,2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 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том числе 10 контрактов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 нарушением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при выборе конкурентного способа определения поставщика (подрядчика, исполнителя)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оплата невыполненных работ 261,4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оплата 9 работ не соответствующих условиям контракта на сумму 1659,2 тыс. рублей, прочие нарушения при исполнении контрактов 87 фактов на сумму 3875,6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 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результатам контрольных мероприятий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подготовлено 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 представлений и 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предписани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 устранению выявленных нарушений и недостатков,  незаконного и неэффективного расходования бюджетных средств, изданию правовых  актов или внесению изменений в действующие в части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решения вопросов  оформления обязательных условий представления субсидий и методики расчета  сумм субсидий, совершенствования учетной политики, соблюдения стандартов и методологии бюджетного учета.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  <w:lang w:eastAsia="ru-RU"/>
        </w:rPr>
        <w:t xml:space="preserve">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  <w:lang w:eastAsia="ru-RU"/>
        </w:rPr>
        <w:t xml:space="preserve">.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  <w:lang w:eastAsia="ru-RU"/>
        </w:rPr>
        <w:t xml:space="preserve">2.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  <w:lang w:eastAsia="ru-RU"/>
        </w:rPr>
        <w:t xml:space="preserve"> Результаты отдельных мероприятий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center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2.2.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Внешняя 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роверка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годовой бюджетной отчетности главных распорядителей средств бюджета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муниципального образования Ленинградский район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за 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  и главных распорядителей бюджетных средств сельских поселений за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Проверено средств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3 150 904,7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 ( исполнение бюджет ГРБС по расходам) , 20 объектов проверки , в том числе 12 администраций поселений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7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администраторов муниципального бюджета.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Всего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актах проверок  отражено 146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нарушений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68 718,5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результатам проверки главных распорядителей бюджетных средств  составлено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актов, выписано 8 представлений: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главе Ленинградского района,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главе Ленинградского сельского поселения,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главе Куликовского сельского поселения,  , главе Белохуторского сельского поселения, главе Западного сельского поселения,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главе Уманского сельского поселения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главе Новоуманского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сельского поселения, главе Новоплатнировского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сельского поселения.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 предписания : главе  Восточного сельского,  главе Ленинградского сельского поселения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Составлено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протокол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об административном правонарушении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 передано в суд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в том числе: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протокол об административном правонарушении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предусмотренном  частью 4  статьи 15.15.6 КоАП РФ, выразившееся в грубом нарушении требований к бюджетному (бухгалтерскому) уче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ту, в том числе к составлению либо представлению бюджетной или бухгалтерской (финансовой) отчетности,  в искажении показателей бюджетной отчетности, выраженных в денежном измерении, которое привело к искажению информации об активах и финансовом результате,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менее чем на 1 процент, но не более чем на 10 процентов и на сумму, превышающую один миллион рублей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протокол об административном правонарушении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предусмотренном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частью 3 статьей 15.15.6 КоАП РФ, выразившемся в нарушении требований к бюджетному (бухгалтерскому) учету, повлекшее представление бюджетной или бухгалтерской (финансовой) отчетности, содержащей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 отчетности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 протокола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 административном правонарушении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предусмотренном  стать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15.15.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10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КоАП 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ринятие бюджетных обязательств в размерах, превышающих утвержденные бюджетные ассигнования и (или) лимиты бюджетных обязательств,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1 протокол УФАС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 административном правонарушении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предусмотренном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частью 2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стать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7.29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КоАП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ринятие решения о способе определения поставщика (подрядчика, исполнителя), в том числе решения о закупке товаров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работ, услуг для обеспечения государственных и муниципальных нужд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системе в сфере закупок должно осуществляться путем проведения конкурса или аукциона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22272f"/>
          <w:sz w:val="28"/>
          <w:szCs w:val="28"/>
          <w:highlight w:val="white"/>
          <w:shd w:val="clear" w:color="auto" w:fill="f0b4c1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Полнота представленной бюджетной отчётности соответствует требованиям ст. 264.1 Бюджетного кодекса 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Приказ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Министерства финансов РФ от 23.12.2010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№ 191н)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Показатели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бюджетной отчетности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 всем  главным распорядителям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сверены с данными «Отч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ета по поступлениям и выбытиям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органа, осуществляющего кассовое обслуживание исполнения бюджета»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(ф. 0503151),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предоставленного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Управлением Федерального казначейства по Краснодарскому краю, осуществляющему кассовое обслуживание бюджета муниципального образования.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Расхождений не выявлено.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06"/>
        <w:ind w:firstLine="709"/>
        <w:jc w:val="both"/>
        <w:spacing w:after="0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соответствии со статьей 217 Бюджетного кодекса РФ объемы бюджетных ассигнований в расчете на финансовый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утвержденные решениями Советов сельских поселений о бюджетах,  соответствуют объемам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бюджетных ассигнований, утвержденны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х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сводной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бюджетной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росписью расходов бюджета муниципального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образования Ленинградский район 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бюджетов  сельских поселений.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 составлении годовой бюджетной отчетности за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год, а также организации и ведении бухгалтерского учета, главными распорядителями бюджетных средств допущены следующие  недостатки и нарушения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отраженные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актах проверок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: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- 1.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Нарушение порядка формирования бюджетных ассигнований дорожных фондов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шт.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12 783,8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тыс. рублей, дорожный фонд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года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сформирован не в полном объеме. ( Восточное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, Крыловское, Коржовское, Белохуторское, Уманское, Куликовское, Новоплатнировское, Западное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поселение);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-1.2.59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Принятие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шт.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1 776,6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тыс. рублей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- 2.4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субъектом»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шт.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1 398,0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обязательные инвентаризации перед составлением годовой бухгалтерской отчетности проведены с нарушением требований Приказа  Минфина РФ от 13.06.1995г. № 49 (ред. от 08.11.2010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 "Об утверждении Методических указаний по инвентаризации имущества и финансовых обязательств" (Новоп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латнировское 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2.9 «Нарушение общих требований к бухгалтерской (финансовой) отчетности экономического субъекта, в том числе к ее составу»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103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шт.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46 096,4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несоблюдение инструкции №191н при заполнении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форм отчетности (Образцовое сельское поселение, Западное сельское поселение, Первомайское сельское поселение, Уманское сельское поселение Новоплатнировское сельское поселение, Куликовское сельское поселение, Новоуманское сельское поселение,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Ленинградское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сельское поселение,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Белохуторское,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отдел физической культуры и спорта,  управление образования,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администрация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  <w:t xml:space="preserve">- 2.1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1.6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«Прочие нарушения»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200,3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плановые показатели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форм бухгалтерской отчетности не соответствуют данным, утвержденных решениями о бюджете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в инвентаризационной описи администрации отражено имущество МКУ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 Западное сельское поселение, Куликовское сельское поселение);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Нарушения при выборе конкурентного способа определения поставщика (подрядчика, исполнителя)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искусственное дробление закупок свыше 600 тыс. рублей (ч.1 ст.7.29 КоАП РФ) – 10 шт. на сумму 6 202,0 тыс. руб. (направлено в УФАС)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ское сельское поселение).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- 4.45к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 Оплата фактически невыполненных объемов работ, не оказанных услуг, непоставленных (недопоставленных) товаров»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- 5 шт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261,4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руб. (направлено 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Арбитражный суд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Ленинградское сельское поселение), а так же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просрочка исполнения или ненадлежащее исполнение обязательств по контракту (услуги (работа) оказаны несвоевременно) не направлялись требования об уплате неустоек (штрафов, пеней)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709" w:leader="none"/>
          <w:tab w:val="left" w:pos="993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Общее количество нарушений выявленных в ходе проведения контрольного мероприятия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отраженных в актах 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составило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шт.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68718,5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рублей.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приняты во внимание недостатки и нарушения, выявленные при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проверках годовой бюджетной отчетности прошлых лет: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Восточное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сельское поселение Ленинградского района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восстановлены средства дорожного 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онда в сумме 3013,7 тыс. рублей, выдано предписание от 25.01.2024 №1, исполнено в 2024 году.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8"/>
        <w:ind w:firstLine="705"/>
        <w:jc w:val="both"/>
        <w:spacing w:before="0" w:beforeAutospacing="0" w:after="0" w:afterAutospacing="0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Приняты меры по устранению нарушений и недостатков 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МКУ «ЦМБ» проведена корректировка забалансового  счета  38 на сумму 322711900,0 рублей  и счета 39 на сумму 67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46000,00 рублей, внесены корректировки в форму 050173, списаны с учета затраты на объект незавершенного строительства на сумму 3377973,00 рублей, возбуждено административное дело по ст. 15.15.6 КоАП , назначен штраф 5,0 тыс. руб, уплачен по ст. 32.2  - 2,5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тыс. руб.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Западное  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ельское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оселение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увеличили дорожный фонд на 7,2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Новоуманское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 устранены ошибки в главной книге по счетам 401 и 205 на сумму 27327,87 рублей,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       -  Белохуторское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увеличен дорожный фонд на 734,2 тыс. рублей,  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        - Ленинградское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направлены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материалы в арбитражный суд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г. Краснодара о взыскании с ООО «Центр»  в бюджет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281469,53 рублей ( дело А32-30901/24 назначено  заседание 13.12.2024г.) , возбуждено административное дело по ст. 7.29 УФАС вынесено предупреждение;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Куликовское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увеличили дорожный фонд на 3235,27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-Новоплатнировское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увеличили дорожный фонд на 300,0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-Уманское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увеличили дорожный фонд на 300,0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-Восточное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сельское поселение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возбужден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ы два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административн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ых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дел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по ст.15.15.10 КоАП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РФ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назначен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штраф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ы по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20,0 тыс. руб.,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1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дело у судебных приставов.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.2.2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деятельности администраторов доходов муниципального бюджета – </w:t>
      </w:r>
      <w:bookmarkStart w:id="0" w:name="_Hlk174018233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отдела имущественных отношений администрации муниципального образования Ленинградский район и администрации муниципального образования Ленинградский район </w:t>
      </w:r>
      <w:bookmarkEnd w:id="0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управлению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дебиторской задолженностью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 доходам, поступающим в муниципальный бюджет в 2022-2023 годах (выборочно при необходимости – иные периоды).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акте проверки отражены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арушения установленных единых требований к бюджетному (бухгалтерскому) учету, в том числе бюджетной, бухгалтерской (финансовой) отчетности 14 фактов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16 901,5 тыс. рублей, в том числе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bookmarkStart w:id="1" w:name="_Hlk176515624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требований, предъявляемых к оформлению и ведению регистров бухгалтерского учета</w:t>
      </w:r>
      <w:bookmarkEnd w:id="1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факта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сумму 1693,8 тыс. рублей,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недостоверное отражение (не отражение) в учете и отчетности показателей дебиторской и кредиторской задолженности – 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фактов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10683,6 тыс. рублей</w:t>
      </w:r>
      <w:bookmarkStart w:id="2" w:name="_Hlk176516307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нарушение применения единого плана счетов бухгалтерского учета</w:t>
      </w:r>
      <w:bookmarkEnd w:id="2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2 факта;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прочие нарушения – 4 фактов на сумму 4524,1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(просроченная дебиторская задолженность занижена 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сумму 4 237,8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  <w:lang w:eastAsia="en-US"/>
        </w:rPr>
        <w:t xml:space="preserve"> несоответствие показателей сомнительной задолженности в учете ГАД 921 с бюджетной  бухгалтерской отчетностью 286,3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)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Приняты меры: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нарушения ведения бухучета устранены, внесены изменения в учетную политику , в службу техподдержки «Барс» направлен запрос для устранения ошибок, возбуждено административное дело по ст.15.15.6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КоАП РФ 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судом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назначен штраф 15,0 тыс.руб, уплачен штраф  по ст.32.2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КоАП РФ -  7,5 тыс. руб, дисциплинарное взыскание 1 чел.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2.2.3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Проверка законности, эффективности и целевого использования бюджетных средств, использования муниципального имущества в муниципальном бюджетном учреждении дополнительного образования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детская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музыкальная школа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станицы Ленинградской администрации муниципального образования Ленинградский района за 2022 год, в том числе аудит в сфере закупок.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Допущены следующие  недостатки и нарушения, отраженные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актах проверок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на 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8817,5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тыс.  рублей, 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-1.1.20 «Н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порядка разработки федеральных целевых программ, региональных целевых программ и муниципальных программ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1 на сумму 650,0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тыс.  рублей;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-1.2.48 «Р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асходование (использование) государственным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 (муниципальными) бюджетными и государственными (муниципальными) автономными учреждениями субсидии на финансовое обеспечение выполнение государственного (муниципального) задания на цели, не связанные с выполнением государственного (муниципального) задания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2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 сумму 1053,3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тыс. 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оплата 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руда сторожей за охрану помещение музыкальная школа которого не является балансодержателем – 1 шт. в сумме 602,3 тыс. руб.;- неправомерно начислена и выплачена заработная плата сотруднику, работавшего без необходимой квалификации на занимаемой им должности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1 шт. в сумме 451,0 тыс. руб);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- 1.2.95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порядка и условий оплаты труда со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- 31 факт на сумму 78,1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ежемесячная денежная компенсация на обеспечение книгоиздательской продукции и периодическими изданиями не включена в оклады (должностные оклады)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нарушения учета рабочего времени, в том числе ведения табеля учета рабочего времени – 1факт;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- 1.2.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131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  «П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рочие нарушения и недостатки, не учтенные в данной группе – 52 на сумму 6672,3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арушение установленных единых требований к бюджетному (бухгалтерскому) учету, в том числе к бюджетной, бухгалтерской (финансовой) отчетности – 80 на сумму 215,2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необоснованные расходы ГСМ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19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шт.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30,7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тыс. руб.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ри начислении и выплате мер социальной поддержки в виде компенсации расходов на оплату жилых помещений, отопления и освещения допущены нарушения, которые повлекли: недоплату в размере 165,15 рублей ; излишне начислена – 6840,02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     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Нарушение порядка распоряжения имуществом бюджетного учреждения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- 1 на сумму 1280,0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(автобус сдан на утилизацию без согласия учредителя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ст. 7.35 КоАП 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не вынесено по истечении 90 к.дн. (ч.1,3 ст. 4.5 и ч.1 ст. 23.1 КоАП РФ)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Приняты меры: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Внесен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ы изменения в приказы управления культуры, исправлены ошибки по ведению бухучета, ведутся журналы путевых листов, 26.03.2024 внесено в кассу и возвращено в бюджет 30658,56 рублей ; произведен перерасчет мер соцподдержки индивидуально всего на сумму 7005,17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 , в 2023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году  полностью начислены и выплачены меры соцподдержки  2022 года ; внесены изменения в штатное расписание учреждения, внесены изменения в учетную политику , произведен перерасчет выплат за книгоиздательскую продукцию , доначислено и выплачено  зарплаты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78161,14 рублей, кадровые перестановки, возбуждены 2  административных дела по ст. 15.14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КоАП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, назначены  и уплачены штрафы должностным лицом - 10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юридическим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лицом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26332,36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 w:eastAsiaTheme="minorHAnsi"/>
          <w:b w:val="0"/>
          <w:bCs w:val="0"/>
          <w:i w:val="0"/>
          <w:iCs w:val="0"/>
          <w:sz w:val="28"/>
          <w:szCs w:val="28"/>
          <w:highlight w:val="white"/>
        </w:rPr>
        <w:t xml:space="preserve">2.2.4</w:t>
      </w:r>
      <w:r>
        <w:rPr>
          <w:rFonts w:ascii="FreeSerif" w:hAnsi="FreeSerif" w:eastAsia="FreeSerif" w:cs="FreeSerif" w:eastAsiaTheme="minorHAnsi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 w:eastAsiaTheme="minorHAnsi"/>
          <w:b w:val="0"/>
          <w:bCs w:val="0"/>
          <w:i w:val="0"/>
          <w:iCs w:val="0"/>
          <w:sz w:val="28"/>
          <w:szCs w:val="28"/>
          <w:highlight w:val="white"/>
        </w:rPr>
        <w:t xml:space="preserve">Э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кспертно-аналитическое мероприятие «Анализ реализации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концессионных соглашений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 финансировании, создании, модернизации (реконструкции/строительстве) и эксплуатац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ии сетей горячего водоснабжения, сетей теплоснабжения, источников теплоснабжения, источников горячего водоснабжения, источников теплоснабжения на территории муниципального образования Ленинградский район Краснодарского края в формате параллельного с КСП КК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Всего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действующему классификатору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выявлено  нарушений  и недостатков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отраженных в акте  проверки  141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факт  на 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50136,6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тыс.  рублей, 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Нарушение установленных единых требований к бюджетному (бухгалтерскому) учету, в том числе бюджетной, бухгалтерской (финансовой ) отчетности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72 на сумму 50216,1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Начисление доходов от арендной платы за земельные участки без первичных документов -3 шт. на 549 тыс. руб.(за 3 года по соглашению №2)  2 шт. 676,1 тыс. руб. (2 года по соглашению №3)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 соглашению №2 в МУП не ведется отдельный учет имущества переданного в концессию-28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шт. ,  по соглашению №3 в бух.учете (на счета 108.91 108.92) имущество переведено в концессию раньше даты соглашения 22.07.2022г. – 13шт.,  не верно отражена в бух.учете передача имущества из казны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 земельных участков в концессию по Соглашению №3– 24 шт.,  Концедент не отразил на счете 39 сумму инвестиции – 1 шт. 48911,5 тыс. руб.,  в форме 0503160 за 2023 год отсутствует информация о концессионном соглашении, имуществе переданном в концессию – 1шт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)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арушения в сфере управления и распоряжения государственной (муниципальной) собственностью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61 факт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10 земельных участков кадастровой стоимостью 1305,2 отсутствуют в бухучете и реестре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нарушение срока составления акта приема –передачи имущества – 1 шт.;- в акте-передачи отсутствует один объект- 1 шт.;- договора аренды на земельные уча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стки заключены позднее 60 дней – 22 шт.;- срок договора аренды превышает срок действия соглашения – 22 шт.;- отсутствуют первичные документы по сумме инвестиций – 1 шт.;- отсутствуют акты об исполнении Концессионером своих обязательств – 2шт.;-отсутствуют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окументы подтверждающие ввод в эксп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луатацию новых объектов -3шт.,  в соглашениях отсутствует размер арендной платы (ставка, формула) за пользование земельными участками – 2 шт.,  не составлен акт приема-передачи на движимое и недвижимое имущество на объекты концессионного соглашения – 1 шт.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соглашении №2 отсутствует порядок контроля за Концессионером – 1шт.;- контроль не за выполнением Соглашения №2 осуществлялся -1шт-не назначен уполномоченный орган по контролю за соблюдением исполнения соглашения -1 шт.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Концедент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уведомил Концессионера об полномоченном органе по контролю -1 шт.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соглашении №3 отсутствует порядок контроля за Концессионером – 1шт.;- контроль за выполнением Соглашения №3 не осуществлялся -1шт)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-7.17к 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Иные нарушения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 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предоставлена отчетность по соглашению -1шт.,  не предоставлены банковские гарантии в 2022, 2023, на 2024 г -3шт,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не предоставлены банковские гарантии 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2021,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2022, 2023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на 2024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 -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шт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Приняты меры 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администрацией муниципального образования Ленинградский район 29.07.2024 года подписаны допсоглашения с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ОО «СППК» к концессионным соглашениям от 14.01.2021 №2 и от 01.09.2022 №3 в части порядка расчета размера арендной платы за пользование земельными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участками, принято постановление администрации от 25.07.2024 №687 об утверждении порядка осуществления контроля за соблюдением условий концессионного соглашения, устранены выявленные нарушения ведения бухучета бух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галтерская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справка от 26.07.2024 на 13910645,95 рублей и бух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галтерская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справка от 26.07.2024 на 38652826,13 рублей , принят к учету акт передачи коте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льной ДОУ№11, отделом имущественных администрации поставлен на контроль бухгалтерский учет в отношении объектов концессионных соглашений у балансодержателя МУП «Теплосети», а так же предоставления концессионером  ООО «СПКК» банковской гарантии на 2025 год.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2.2.5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Проверка целевого и эффективного использования бюджетных средств МБДОУ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детский сад общеразвивающего вида № 8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станицы Ленинградской в 2023 году на благоустройство.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Всего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действующему классификатору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выявлено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нарушений  и недостатков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отраженных в акте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105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факт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на 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у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14501,3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тыс.  рублей, в том числе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- 1.2.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Нарушения в ходе исполнения бюджетов – 2 факта на сумму 89665,5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bookmarkStart w:id="3" w:name="_Hlk180759189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(субсидии перечислены учреждению из муниципального бюджета без заявок на получение субсидии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шт.- 6 646,5 тыс. руб.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- </w:t>
      </w:r>
      <w:bookmarkStart w:id="4" w:name="_Hlk180759412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соглашении не установлены значения результатов предоставления субсидии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шт. – 2 320,0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bookmarkEnd w:id="4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- 4 «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арушения при осуществлении государственных (муниципальных) закупок и закупок отдельными ви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дами юридических лиц»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– 105 фактов на сумму 5534,8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(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bookmarkStart w:id="5" w:name="_Hlk180761779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нарушение условий контракта п. 3.2. подрядчиком нарушены сроки выполнения всех работ по капитальному ремонту здания (благоустройство)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 1 шт.</w:t>
      </w:r>
      <w:bookmarkEnd w:id="5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</w:t>
      </w:r>
      <w:bookmarkStart w:id="6" w:name="_Hlk180761829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нарушении ст. 452 ГК РФ и п. 2.4. контракта было допущено изменение видов и объемов выполняемых работ без оформления дополнительного соглашения более чем на 10 %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 7 шт.</w:t>
      </w:r>
      <w:bookmarkEnd w:id="6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bookmarkStart w:id="7" w:name="_Hlk180761903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нарушение условий контракта изменения в ПСД не вносились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шт.</w:t>
      </w:r>
      <w:bookmarkEnd w:id="7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bookmarkStart w:id="8" w:name="_Hlk180761940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акте выполненных работ отражены работы и материалы, не предусмотренные сметой 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9 шт. – 1 659,2 тыс. руб.</w:t>
      </w:r>
      <w:bookmarkEnd w:id="8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</w:t>
      </w:r>
      <w:bookmarkStart w:id="9" w:name="_Hlk180762001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выполнены работы, предусмотренные муниципальным контрактом и ПСД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24 шт. – 1 033,5 тыс. руб.</w:t>
      </w:r>
      <w:bookmarkEnd w:id="9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bookmarkStart w:id="10" w:name="_Hlk180762033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фактически отсутствуют виды работ по устройству тротуарной плитки и тактильной плитки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val="en-US"/>
        </w:rPr>
        <w:t xml:space="preserve">S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=1 107,3 кв.м. – 2 шт. – 1 423,5 тыс. руб.</w:t>
      </w:r>
      <w:bookmarkEnd w:id="10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bookmarkStart w:id="11" w:name="_Hlk180762060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замена вида материала в КС -2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 шт. – 309,1 тыс. руб.</w:t>
      </w:r>
      <w:bookmarkEnd w:id="11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,  </w:t>
      </w:r>
      <w:bookmarkStart w:id="12" w:name="_Hlk180762088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договором на оказание услуг по осуществлению строительного контроля не предусмотрено составление документов, подтверждающих проведение строительного контроля и технического надзора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1 шт.;</w:t>
      </w:r>
      <w:bookmarkStart w:id="13" w:name="_Hlk180762200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bookmarkEnd w:id="12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общий журнал работ составлен не по форме КС-6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1 шт.;</w:t>
      </w:r>
      <w:bookmarkEnd w:id="13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bookmarkStart w:id="14" w:name="_Hlk180762458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заказчиком или строит. контролем записи в общем журнале работ не осуществл.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1 шт.;</w:t>
      </w:r>
      <w:bookmarkEnd w:id="14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bookmarkStart w:id="15" w:name="_Hlk180762529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не представлены акты освидетельств. скрытых работ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– 7 шт.;</w:t>
      </w:r>
      <w:bookmarkEnd w:id="15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bookmarkStart w:id="16" w:name="_Hlk180762566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работы выполнены с изменениями более чем на 10% по сравнению с утвержденными сметой –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47 шт. – 1 109,5 тыс. руб.</w:t>
      </w:r>
      <w:bookmarkEnd w:id="16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) </w:t>
      </w:r>
      <w:bookmarkEnd w:id="3"/>
      <w:r>
        <w:rPr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Приняты меры: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администраци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ей муниципального образования Ленинградский район представлена информация от 03.12.2024 №10994                       ( подпись главы Ю.Ю.Шулико)  о том, усилен контроль за выполнением функций строительного контроля со стороны МКУ «Служба единого заказчика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муниципального образования Ленинградский район»,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разработан регламент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составления отчетных документов при оказании услуг по осуществлению строительного контроля, во вновь заключенные договоры на оказание услуг стройконтроля включены условия соблюдения требований постановления Правительства РФ от 21.06.20210г. №468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О порядке проведения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строительного контроля при осуществлении строительства, реконструкции и капитального ремонта объектов капитального строительства».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Департаментом финансово-бюджетного надзора Краснодарского края представлена информация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(от 21.10.2024г.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№56-01-12-1755/24) о перенаправлении информации, представленной специалистами КСП о выявленных нарушениях, которые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содержат признаки состава  административного правонарушения, предусмотренного частью 10 статьи 7.32 КоАП 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,  в прокуратуру Ленинградского района,  за это время вышел срок исковой  давности 1 год.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pStyle w:val="720"/>
        <w:ind w:right="0" w:firstLine="540"/>
        <w:jc w:val="both"/>
        <w:widowControl/>
        <w:rPr>
          <w:rFonts w:ascii="FreeSerif" w:hAnsi="FreeSerif" w:cs="FreeSerif"/>
          <w:b w:val="0"/>
          <w:bCs w:val="0"/>
          <w:i w:val="0"/>
          <w:iCs w:val="0"/>
          <w:spacing w:val="-14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Н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а основании ходатайства заведующей МБДОУ детский сад  №8  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3.12.2024г. №262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( в связи с подготовкой документов в Арбитражный суд Краснодарского края)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, в соответствии с пунктом 3.1 статьи 16 Федерального закона  от 07.2011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г.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№6-ФЗ  распоряжением контрольно-счетной палаты  от 3.12.2024 г. №13-р срок исполнения представления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1.11.2024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г.  №13 продлен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 до 20 декабря 2024 года.</w:t>
      </w:r>
      <w:r>
        <w:rPr>
          <w:rFonts w:ascii="FreeSerif" w:hAnsi="FreeSerif" w:cs="FreeSerif"/>
          <w:b w:val="0"/>
          <w:bCs w:val="0"/>
          <w:i w:val="0"/>
          <w:iCs w:val="0"/>
          <w:spacing w:val="-14"/>
          <w:sz w:val="28"/>
          <w:szCs w:val="28"/>
          <w:highlight w:val="white"/>
        </w:rPr>
      </w:r>
    </w:p>
    <w:p>
      <w:pPr>
        <w:ind w:firstLine="540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24 декабря 2024 года  заказным письмом в Контрольно-счетную палату Ленинградского муниципального округа  доставлен ответ заведующей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МБДОУ детский сад  №8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 от 18.12.2024 г.  №282 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из которого следует , что меры по устранению нарушений, а именно по взысканию в бюджет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расходов  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размере 1 659 191,23 рубль,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выявленных в ходе контрольного мероприятия  не приняты.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ind w:firstLine="540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pacing w:val="-14"/>
          <w:sz w:val="28"/>
          <w:szCs w:val="28"/>
          <w:highlight w:val="white"/>
        </w:rPr>
        <w:t xml:space="preserve">Постановлением по делу об административном правонарушении от 05.02.2025 г.                          ( УИД 23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14"/>
          <w:sz w:val="28"/>
          <w:szCs w:val="28"/>
          <w:highlight w:val="white"/>
          <w:lang w:val="en-US"/>
        </w:rPr>
        <w:t xml:space="preserve">RS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14"/>
          <w:sz w:val="28"/>
          <w:szCs w:val="28"/>
          <w:highlight w:val="white"/>
        </w:rPr>
        <w:t xml:space="preserve">0030-01-2024-003538-58) Ленинградский районный суд признал виновной  Ю.Г.М. в совершении административного правонарушения, предусмотренного ч.20 ст.19.5 КоАП РФ  и  подвергнул штрафу.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Администрацией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МБДОУ детский сад  №8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  5 ма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р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pacing w:val="1"/>
          <w:sz w:val="28"/>
          <w:szCs w:val="28"/>
          <w:highlight w:val="white"/>
        </w:rPr>
        <w:t xml:space="preserve">та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2025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ода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Арбитражный суд Краснодарского края направлено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 от 05.03.2025г. №39)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исковое заявление о взыскании денежных средств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 ИП Данелян С.Р. в сумме 1659191,23 рубля.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3. Результаты экспер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но-аналитической  деятельности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3.1. Общие результаты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За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 проведено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19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экспертно-аналитических мероприятий, позволившие охватить практически все полномочия органа внешнего финансового контроля: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ходе исполнения местного бюджета – 3 мероприятия : анализ исполнения местного бюджета по итогам 1 квартала, 1 полугодия и 9 месяцев текущего года;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внешняя проверка годового отчета об исполнении местного бюджета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 12 бюджетов сельских поселений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за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 – 13 заключений;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-экспертиза  проекта решения Совета муниципального образования Ленинградский район «О бюджете муниципального образования Ленинградский район на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 и на плановый период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годов»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</w:t>
      </w:r>
      <w:bookmarkStart w:id="17" w:name="_Hlk166657277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нализ реализации концессионных соглашений о финансировании, созда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нии, модернизации (реконструкции/строительстве) и эксплуатации сетей горячего водоснабжения, сетей теплоснабжения, источников горячего водоснабжения, источников теплоснабжения на территории муниципального образования Ленинградский район Краснодарского края</w:t>
      </w:r>
      <w:bookmarkEnd w:id="17"/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формате параллельного с КСП КК – 2 заключения.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всем мероприятиям составлены соответствующие заключения, направленные главе муниципального образования Ленинградский район,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Совет муниципального образования,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главам поселений, руководителям отраслевых и функциональных органов.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3.2. Результаты отдельных мероприятий 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pStyle w:val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3.2.1.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Проверка годовой бюджетной отчетности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главных распорядителей средств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бюджета муниципального образования Ленинградский район и главных распорядителей бюджетных средств сельских поселений за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Дорожные фонды  в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 сформированы не в полном объеме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12783,8 тыс. рублей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а именно: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Белохуторское сельское поселение в сумме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506,5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Восточное сельское поселение в сумме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4863,3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Крыловское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сельское поселение в сумме 57,7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Кожовское сельское поселение в сумме 64,9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Куликовское сельское поселение в сумме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3235,3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Уманское сельское поселение в сумме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819,3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Новоплатнировское сельское поселение в сумме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3229,6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Образцовое сельское поселение в сумме в сумме 464,29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Западное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сельское поселение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сумме в сумме 7,2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 приняты во внимание недостатки и нарушения, выявленные при проверках годовой бюджетной отчетности прошлых лет: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- 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состоянию на 26.04.202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дорожный фонд Восточного сельского поселения Ленинградского района на 2023 год сформирован не в полном объеме, меньше 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1 397,5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результатам приняты меры: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Западного сельского поселения от 25.10.2024г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№10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внесении изменений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Западного сельского поселения от 27.12.2023г №40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бюджете Западного сельского поселения Ленинградского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района на 2024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( с изм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от 29.01.2024, 28.02.2024)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сформировали дорожный фонд (+7,2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 Белохуторского сельского поселения от 06.09.2024г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№17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внесении изменений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Белохуторского сельского поселения от 22.12.2023г №36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бюджете Белохуторского сельского поселения Ленинградского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района на 2024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 с изм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от 22.02.2024, 26.04.2024г)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сформировали дорожный фонд (+734,2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 Куликовского сельского поселения от 23.05.2024г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№5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внесении изменений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Куликовского сельского поселения от 22.12.2023г №36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бюджете Куликовского сельского поселения Ленинградского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района на 2024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( с изм от 29.03.2024г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 сформировали дорожный фонд (+3235,2 тыс.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рублей)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 Новоплатнировского  сельского поселения от 29.03.2024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№4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внесении изменений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Новоплатнировского сельского поселения от 18.12.2023г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№30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бюджете Новоплатнировского  сельского поселения Ленинградского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района на 2024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сформировали дорожный фонд (+300,0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 Уманского  сельского поселения от 06.03.2024г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внесении изменений 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 Совета Уманского сельского поселения от 25.12.2023г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№28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 бюджете Уманского  сельского поселения Ленинградского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района на 2024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сформировали дорожный фонд (+267,9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25 января 2024 года выдано предписание от  25.01.2024г. №1, Решением Совета Восточного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сельского поселения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от 29.01.2024 №2 «О бюджете Восточного сельского поселения Ленинградского района на 2024 год» средства дорожного фонда утверждены в полной сумме 5140,2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3.2.3.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Э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кспертиза  проекта решения Совета муниципального образования Ленинградский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муниципальный округ Краснодарского края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«О бюджете муниципального образования Ленинградский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муниципальный округ Краснодарского края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на 202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год и на плановый период 202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6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и 202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7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год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ы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».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Прогноз социально-экономического развития составлен 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 на основе постановления администрации от 29.12.2015г № 951 «О порядке разработки, корректировки, осуществления мониторинга и контроля реализации прогнозов социально-экономического развития муниципального образования Ленинградский район на долгосрочный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среднесрочный периоды»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Бюджетные ассигнования, определенные проектом решения о бюджете Ленинградского муниципального округа Краснодарского края, не соответствуют предусмотренным объемам финансирования по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муниципальным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программам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( паспорта программ)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7 программ на сумму 289974,6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(разница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25г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104721,7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26г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96261,1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27г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 – 88991,8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en-US"/>
        </w:rPr>
        <w:t xml:space="preserve">);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Установлено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несоответствие показателей расходной части бюджета Ленинградского муниципального округа Краснодарского края с рассчитанными и обоснованными объемами бюджетных ассигнований бюджета Ленинградского муниципального округа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на 2025 год и плановый период 2026 и 2027 год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ы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повлекшее завышение объемов ведомственной структуры расходов бюджета Ленинградского муниципального округа в 2025 году на 95 532,4 тыс. рублей, в 2026 году на 100 811,8 тыс. рублей и в 2027 году на 100 606,3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, всего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296 950,5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Предл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ожено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Прогноз социально-экономического развития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муниципального образования разрабатывать в  </w:t>
      </w:r>
      <w:hyperlink r:id="rId13" w:tooltip="https://internet.garant.ru/#/document/71249780/entry/1000" w:anchor="/document/71249780/entry/1000" w:history="1">
        <w:r>
          <w:rPr>
            <w:rStyle w:val="700"/>
            <w:rFonts w:ascii="FreeSerif" w:hAnsi="FreeSerif" w:eastAsia="FreeSerif" w:cs="FreeSerif"/>
            <w:b w:val="0"/>
            <w:bCs w:val="0"/>
            <w:i w:val="0"/>
            <w:iCs w:val="0"/>
            <w:color w:val="000000"/>
            <w:sz w:val="28"/>
            <w:szCs w:val="28"/>
            <w:highlight w:val="white"/>
            <w:u w:val="none"/>
            <w:shd w:val="clear" w:color="auto" w:fill="ffffff"/>
          </w:rPr>
          <w:t xml:space="preserve">порядке</w:t>
        </w:r>
      </w:hyperlink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установленном местной администрацией и в соответствии с требованиями п.2 ст.173 БК РФ. </w:t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711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Предл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ожено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 у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становить в системе управления муниципальными программами муниципального образования Ленинградский муниципальный округ Краснодарского края, единую методологию и взаимосвязь правового статуса муниципального образования в наименовании муниципальных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программ, с этапами и сроками их реализации.</w:t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Предл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  <w:t xml:space="preserve">ожено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п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ривести в соответствие муниципальные программы и расчеты обоснований бюджетных ассигнований по непрограммным расходам с проектом бюджета Ленинградского муниципального округа на 2025 год и плано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вый период 2026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года и 2027 годы 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  <w:t xml:space="preserve"> до 1 апреля 2025 года (п.1 ст. 179 БК РФ).</w:t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b w:val="0"/>
          <w:bCs w:val="0"/>
          <w:i w:val="0"/>
          <w:iCs w:val="0"/>
          <w:color w:val="00000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4. Краткие результаты аудита в сфере закупок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ind w:firstLine="708"/>
        <w:jc w:val="center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году 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соответствии со ст. 98  Федерального закона от 05.04.2013 №44-ФЗ «О контрактной системе в сфере закупок товаров, работ,  услуг для обеспечения государственных и муниципальных нужд» (далее - Закон №44-ФЗ) контрольно-счетной палатой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проведен  аудит в сфере закупок.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Аудитом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охвачены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объектов проверок, 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муниципальных заказчик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учреждений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администраций сельских поселений.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Проверено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1477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контрактов 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305080,2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 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атериал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признакам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административного правонарушения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 ст. 7.29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– «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направлен в УФАС по Краснодарскому краю, вынесено предупреждение.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1  материал с признаками административного правонарушения по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ч.10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ст. 7.32. КоАП РФ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– «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Нарушение порядка заключения, изменения контракта в части приемки поставленного товара, выполненной работы (ее результат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»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направлен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ДФБН КК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переслали материалы  в прокуратуру Ленинградского района , ответа нет, истек срок исковой давности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 актах проверок отражены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нарушения условий реализации контрактов (договоров), в том числе сроков реализации, включая своевременность расчетов по контракту (договору), своевременность предоставления документов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искусственное дробление закупок 10 контрактов  на сумму 6202,0 тыс. рублей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несвоевр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еменное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закл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ючение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допсогл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ашений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к контракту, изменение видов 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объемов работ без оформления, нарушение условий контракта подрядчиком, акты устранения нарушений не составлены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плата фактически не выполненных работ на сумму 261,4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оплата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работ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не предусмотренных контрактом  на сумму 1659,2 тыс. руб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не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выполнены работы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допущена замена материалов и изменение объемов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3875,6 тыс. руб.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Нарушения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 отраженные в основных показателях деятельности : 110 фактов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на сумму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5796,2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тыс. рублей.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5. Прочая деятельность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center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Контрольно-счетная палата муниципального образования Ленинградский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муниципальный округ Краснодарского края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зарег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истрирована 13 января 2012 года. 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В соответствии с Законом Краснодарского края от 8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.02.</w:t>
      </w:r>
      <w:r>
        <w:rPr>
          <w:rFonts w:ascii="FreeSerif" w:hAnsi="FreeSerif" w:eastAsia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Решением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овета муниципального образования Ленинградский муниципальный округ Красн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одарского края от 28.11.2024г. №75 принято решение изменить наименование контрольно-счетной палаты муниципального образования Ленинградский район на Контрольно-счетную палату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С 1 января 2025 года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своем составе имеет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штатные единицы – председатель, главный инспектор,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ведущий инспектор,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старший инспектор. 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202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один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человек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дважды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прош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повышение квалификации 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области государственного и муниципального управления.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Реализуя принцип гласности,  контрольно-счетная плата в отчетном году непрерывно проводила работу по информированию общественности о результатах своей деятельности через интернет ресурсы.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Отч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ет о деятельности контрольно-счетной палаты за предшествующий год был подготовлен и направлен в Совет муниципального образования Ленинградский район , который рассмотрен и принят к сведению (решение Совета муниципального образования Ленинградский район от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         №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), который также размещен 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pacing w:val="-1"/>
          <w:sz w:val="28"/>
          <w:szCs w:val="28"/>
          <w:highlight w:val="white"/>
        </w:rPr>
        <w:t xml:space="preserve">сайте контрольно-счетной палаты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в соответствующем разделе.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Также в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течение 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года председатель Контрольно-счетной палаты принимал участие в заседаниях депутатских комиссий Совета муниципального образования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Ленинградский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 район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lang w:eastAsia="ru-RU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contextualSpacing/>
        <w:ind w:firstLine="708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С 16 по 18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октября 202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4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года в Краснодарском региональном институте агробизнеса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сотрудники контрольно-счетной палаты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обуча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лись на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семинар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 для сотрудников муниципальных контрольно-счетных органов Краснодарского края на тему “Осуществление внешнего государственного (муниципального)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  <w:t xml:space="preserve">финансового контроля”, организованного Законодательным Собранием и Контрольно-счетной палатой Краснодарского края, в рамках работы Совета контрольно-счетных органов Краснодарского края.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  <w:shd w:val="clear" w:color="auto" w:fill="ffffff"/>
        </w:rPr>
      </w:r>
    </w:p>
    <w:p>
      <w:pPr>
        <w:ind w:firstLine="851"/>
        <w:jc w:val="both"/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Контрольно-счетная палата выполняла полномочия главного распорядителя и получателя бюджетных средств  в  соответствии с бюджетным законодательством. Фактические затраты на содержание 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202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 составили 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3244,8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тыс. рублей, в том числе зарплата с начислениями  (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9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4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%)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3063,0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рублей.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Регулярно осуществлялись мероприятия по противодействию коррупции. Информация о доходах, об имуществе и обязательствах имущественного характера муниципальных служащих, а так же  их супругов и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несовершеннолетних детей в установленный срок подготовлена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Style w:val="708"/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hyperlink r:id="rId14" w:tooltip="http://pravo.gov.ru/proxy/ips/?docbody=&amp;link_id=0&amp;nd=603637722" w:history="1">
        <w:r>
          <w:rPr>
            <w:rStyle w:val="714"/>
            <w:rFonts w:ascii="FreeSerif" w:hAnsi="FreeSerif" w:eastAsia="FreeSerif" w:cs="FreeSerif"/>
            <w:b w:val="0"/>
            <w:bCs w:val="0"/>
            <w:i w:val="0"/>
            <w:iCs w:val="0"/>
            <w:sz w:val="28"/>
            <w:szCs w:val="28"/>
            <w:highlight w:val="white"/>
          </w:rPr>
          <w:t xml:space="preserve">В соответствии с подпунктом «ж» пункта 1 Указа президента Российской Федерации от 29 декабря 2022г.</w:t>
        </w:r>
        <w:r>
          <w:rPr>
            <w:rStyle w:val="714"/>
            <w:rFonts w:ascii="FreeSerif" w:hAnsi="FreeSerif" w:eastAsia="FreeSerif" w:cs="FreeSerif"/>
            <w:b w:val="0"/>
            <w:bCs w:val="0"/>
            <w:i w:val="0"/>
            <w:iCs w:val="0"/>
            <w:sz w:val="28"/>
            <w:szCs w:val="28"/>
            <w:highlight w:val="white"/>
          </w:rPr>
          <w:t xml:space="preserve"> </w:t>
        </w:r>
        <w:r>
          <w:rPr>
            <w:rStyle w:val="714"/>
            <w:rFonts w:ascii="FreeSerif" w:hAnsi="FreeSerif" w:eastAsia="FreeSerif" w:cs="FreeSerif"/>
            <w:b w:val="0"/>
            <w:bCs w:val="0"/>
            <w:i w:val="0"/>
            <w:iCs w:val="0"/>
            <w:sz w:val="28"/>
            <w:szCs w:val="28"/>
            <w:highlight w:val="white"/>
          </w:rPr>
          <w:t xml:space="preserve">№968 в период проведения специальной военной операции и впредь до издания соответствующих нормативных правовых актов Российской Федераци</w:t>
        </w:r>
        <w:r>
          <w:rPr>
            <w:rStyle w:val="714"/>
            <w:rFonts w:ascii="FreeSerif" w:hAnsi="FreeSerif" w:eastAsia="FreeSerif" w:cs="FreeSerif"/>
            <w:b w:val="0"/>
            <w:bCs w:val="0"/>
            <w:i w:val="0"/>
            <w:iCs w:val="0"/>
            <w:sz w:val="28"/>
            <w:szCs w:val="28"/>
            <w:highlight w:val="white"/>
          </w:rPr>
          <w:t xml:space="preserve">и размещение сведений о доходах, расходах , об имуществе и обязательствах имущественного характера на официальных сайтах органов и организаций и предоставление таких сведений общероссийским средствам массовой информации для опубликования не осуществляется.</w:t>
        </w:r>
      </w:hyperlink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851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696"/>
        <w:ind w:firstLine="708"/>
        <w:jc w:val="center"/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6. Основные направления деятельности в 202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/>
          <w:bCs/>
          <w:i w:val="0"/>
          <w:iCs w:val="0"/>
          <w:sz w:val="28"/>
          <w:szCs w:val="28"/>
          <w:highlight w:val="white"/>
        </w:rPr>
        <w:t xml:space="preserve"> году</w:t>
      </w:r>
      <w:r>
        <w:rPr>
          <w:rFonts w:ascii="FreeSerif" w:hAnsi="FreeSerif" w:cs="FreeSerif"/>
          <w:b/>
          <w:bCs/>
          <w:i w:val="0"/>
          <w:iCs w:val="0"/>
          <w:sz w:val="28"/>
          <w:szCs w:val="28"/>
          <w:highlight w:val="white"/>
        </w:rPr>
      </w:r>
    </w:p>
    <w:p>
      <w:pPr>
        <w:jc w:val="center"/>
        <w:tabs>
          <w:tab w:val="left" w:pos="12192" w:leader="none"/>
        </w:tabs>
        <w:rPr>
          <w:rFonts w:ascii="FreeSerif" w:hAnsi="FreeSerif" w:cs="FreeSerif"/>
          <w:b/>
          <w:bCs/>
          <w:i w:val="0"/>
          <w:iCs w:val="0"/>
          <w:color w:val="ff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i w:val="0"/>
          <w:iCs w:val="0"/>
          <w:color w:val="ff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i w:val="0"/>
          <w:iCs w:val="0"/>
          <w:color w:val="ff0000"/>
          <w:sz w:val="28"/>
          <w:szCs w:val="28"/>
          <w:highlight w:val="white"/>
        </w:rPr>
      </w:r>
    </w:p>
    <w:p>
      <w:pPr>
        <w:jc w:val="both"/>
        <w:tabs>
          <w:tab w:val="left" w:pos="12192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План работы утвержден с учетом необходимости выполнения  полномочий, возложенных на органы внешнего муниципального финансового контроля Федеральным законом № 6-ФЗ,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том числе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контрольные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экспертно-аналитические мероприятия,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аудит в сфере закупок, мероприятия в информационной, правовой и организационной деятельности.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tabs>
          <w:tab w:val="left" w:pos="12192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Планируется использовать полномочия по аудиту в сфере закупок, предоставленные федеральным законодательством, а так же  полномочия  по составлению протоколов об  административных правонарушениях, предоставленные Законом Краснодарского края от 11.02.2016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г.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№3322-КЗ.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tabs>
          <w:tab w:val="left" w:pos="12192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Как и в предшествующие годы, особое внимание будет уделяться повышению качества бюджетного процесса, повышению доходного потенциала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tabs>
          <w:tab w:val="left" w:pos="12192" w:leader="none"/>
        </w:tabs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местного бюджета, р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езультативности (эффективности, экономности) и законности управления муниципальными ресурсами, проведению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Контрольно-счётной 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алатой будет проведена работа по дальнейшему совершенствованию форм и методов контроля на основании опыта, накопленного за прошедшие годы, поиск и применение всех имеющихся резервов повышения качества контрольной и экспертно-аналитической деятельности.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709"/>
        <w:jc w:val="both"/>
        <w:spacing w:after="14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Постоянным и непрерывным останется контроль за устранением выявленных нарушений и недостатков, а также выполнением рекомендаций не только по результатам мероприятий текущего периода, но и по ранее проведённым мероприятиям.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pStyle w:val="711"/>
        <w:ind w:firstLine="540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году  контрольно-счетная палата продолжит участие в деятельности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Совета  МКСО  Краснодарского края, а также  взаимодействие с органами внутреннего контроля муниципального образования и прокуратурой. Планируется повышение квалификации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сотрудников.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firstLine="540"/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Деятельность палаты будет ориентирована на п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овышени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информационной открытости и прозрачности путем освещения всех направлений деятельности палаты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через интернет ресурсы, в том числе через  сайт палаты 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 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В план работы 20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года  будут вноситься изменения по мере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поступления поручений главы муниципального образования Ленинградский район, а также  депутатского корпуса.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sz w:val="28"/>
          <w:szCs w:val="28"/>
          <w:highlight w:val="white"/>
        </w:rPr>
      </w:pP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sz w:val="28"/>
          <w:szCs w:val="28"/>
          <w:highlight w:val="white"/>
        </w:rPr>
      </w:pP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Style w:val="708"/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Председатель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онтрольно-счетной палаты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муниципального образования 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Ленинградский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муниципальный округ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jc w:val="both"/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Краснодарского края </w:t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  <w:t xml:space="preserve">                                                                         А.А.Шашкова</w:t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i w:val="0"/>
          <w:iCs w:val="0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439885"/>
      <w:docPartObj>
        <w:docPartGallery w:val="Page Numbers (Top of Page)"/>
        <w:docPartUnique w:val="true"/>
      </w:docPartObj>
      <w:rPr/>
    </w:sdtPr>
    <w:sdtContent>
      <w:p>
        <w:pPr>
          <w:pStyle w:val="71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9" w:hanging="12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6">
    <w:multiLevelType w:val="hybridMultilevel"/>
    <w:lvl w:ilvl="0">
      <w:start w:val="403"/>
      <w:numFmt w:val="decimal"/>
      <w:isLgl w:val="false"/>
      <w:suff w:val="tab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8"/>
    <w:next w:val="7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8"/>
    <w:next w:val="7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9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9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3"/>
    <w:link w:val="715"/>
    <w:uiPriority w:val="99"/>
  </w:style>
  <w:style w:type="character" w:styleId="45">
    <w:name w:val="Footer Char"/>
    <w:basedOn w:val="693"/>
    <w:link w:val="717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7"/>
    <w:uiPriority w:val="99"/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2"/>
    <w:uiPriority w:val="99"/>
    <w:rPr>
      <w:sz w:val="18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6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2">
    <w:name w:val="Heading 3"/>
    <w:basedOn w:val="691"/>
    <w:link w:val="712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No Spacing"/>
    <w:link w:val="697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97" w:customStyle="1">
    <w:name w:val="Без интервала Знак"/>
    <w:link w:val="696"/>
    <w:uiPriority w:val="99"/>
    <w:rPr>
      <w:rFonts w:ascii="Calibri" w:hAnsi="Calibri" w:eastAsia="Calibri" w:cs="Times New Roman"/>
    </w:rPr>
  </w:style>
  <w:style w:type="paragraph" w:styleId="698" w:customStyle="1">
    <w:name w:val="paragraph"/>
    <w:basedOn w:val="691"/>
    <w:pPr>
      <w:spacing w:before="100" w:beforeAutospacing="1" w:after="100" w:afterAutospacing="1"/>
    </w:pPr>
  </w:style>
  <w:style w:type="paragraph" w:styleId="699">
    <w:name w:val="List Paragraph"/>
    <w:basedOn w:val="691"/>
    <w:uiPriority w:val="34"/>
    <w:qFormat/>
    <w:pPr>
      <w:contextualSpacing/>
      <w:ind w:left="720"/>
    </w:pPr>
  </w:style>
  <w:style w:type="character" w:styleId="700">
    <w:name w:val="Hyperlink"/>
    <w:basedOn w:val="693"/>
    <w:uiPriority w:val="99"/>
    <w:unhideWhenUsed/>
    <w:rPr>
      <w:color w:val="0000ff"/>
      <w:u w:val="single"/>
    </w:rPr>
  </w:style>
  <w:style w:type="character" w:styleId="701" w:customStyle="1">
    <w:name w:val="Основной текст1"/>
    <w:basedOn w:val="693"/>
    <w:uiPriority w:val="99"/>
    <w:rPr>
      <w:rFonts w:hint="default" w:ascii="Times New Roman" w:hAnsi="Times New Roman" w:cs="Times New Roman"/>
      <w:sz w:val="26"/>
      <w:szCs w:val="26"/>
      <w:shd w:val="clear" w:color="auto" w:fill="ffffff"/>
    </w:rPr>
  </w:style>
  <w:style w:type="paragraph" w:styleId="702">
    <w:name w:val="footnote text"/>
    <w:basedOn w:val="691"/>
    <w:link w:val="703"/>
    <w:uiPriority w:val="99"/>
    <w:unhideWhenUsed/>
    <w:qFormat/>
    <w:rPr>
      <w:sz w:val="20"/>
      <w:szCs w:val="20"/>
    </w:rPr>
  </w:style>
  <w:style w:type="character" w:styleId="703" w:customStyle="1">
    <w:name w:val="Текст сноски Знак"/>
    <w:basedOn w:val="693"/>
    <w:link w:val="70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4">
    <w:name w:val="footnote reference"/>
    <w:basedOn w:val="693"/>
    <w:uiPriority w:val="99"/>
    <w:semiHidden/>
    <w:unhideWhenUsed/>
    <w:qFormat/>
    <w:rPr>
      <w:vertAlign w:val="superscript"/>
    </w:rPr>
  </w:style>
  <w:style w:type="table" w:styleId="705">
    <w:name w:val="Table Grid"/>
    <w:basedOn w:val="694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6">
    <w:name w:val="Body Text"/>
    <w:basedOn w:val="691"/>
    <w:link w:val="707"/>
    <w:pPr>
      <w:spacing w:after="120"/>
    </w:pPr>
  </w:style>
  <w:style w:type="character" w:styleId="707" w:customStyle="1">
    <w:name w:val="Основной текст Знак"/>
    <w:basedOn w:val="693"/>
    <w:link w:val="70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8" w:default="1" w:customStyle="1">
    <w:name w:val="Normal"/>
    <w:basedOn w:val="693"/>
  </w:style>
  <w:style w:type="paragraph" w:styleId="709">
    <w:name w:val="Title"/>
    <w:basedOn w:val="691"/>
    <w:link w:val="710"/>
    <w:qFormat/>
    <w:pPr>
      <w:ind w:firstLine="708"/>
      <w:jc w:val="center"/>
    </w:pPr>
    <w:rPr>
      <w:sz w:val="32"/>
    </w:rPr>
  </w:style>
  <w:style w:type="character" w:styleId="710" w:customStyle="1">
    <w:name w:val="Название Знак"/>
    <w:basedOn w:val="693"/>
    <w:link w:val="709"/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711" w:customStyle="1">
    <w:name w:val="ConsPlusNormal"/>
    <w:link w:val="721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2" w:customStyle="1">
    <w:name w:val="Заголовок 3 Знак"/>
    <w:basedOn w:val="693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713">
    <w:name w:val="Normal (Web)"/>
    <w:basedOn w:val="691"/>
    <w:uiPriority w:val="99"/>
    <w:semiHidden/>
    <w:unhideWhenUsed/>
    <w:pPr>
      <w:spacing w:before="100" w:beforeAutospacing="1" w:after="100" w:afterAutospacing="1"/>
    </w:pPr>
  </w:style>
  <w:style w:type="character" w:styleId="714">
    <w:name w:val="Strong"/>
    <w:basedOn w:val="693"/>
    <w:uiPriority w:val="22"/>
    <w:qFormat/>
    <w:rPr>
      <w:b/>
      <w:bCs/>
    </w:rPr>
  </w:style>
  <w:style w:type="paragraph" w:styleId="715">
    <w:name w:val="Header"/>
    <w:basedOn w:val="691"/>
    <w:link w:val="7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6" w:customStyle="1">
    <w:name w:val="Верхний колонтитул Знак"/>
    <w:basedOn w:val="693"/>
    <w:link w:val="7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7">
    <w:name w:val="Footer"/>
    <w:basedOn w:val="691"/>
    <w:link w:val="71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Нижний колонтитул Знак"/>
    <w:basedOn w:val="693"/>
    <w:link w:val="71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9">
    <w:name w:val="Emphasis"/>
    <w:basedOn w:val="693"/>
    <w:uiPriority w:val="20"/>
    <w:qFormat/>
    <w:rPr>
      <w:i/>
      <w:iCs/>
    </w:rPr>
  </w:style>
  <w:style w:type="paragraph" w:styleId="720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character" w:styleId="721" w:customStyle="1">
    <w:name w:val="ConsPlusNormal Знак"/>
    <w:link w:val="71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2" w:customStyle="1">
    <w:name w:val="Абзац списка1"/>
    <w:basedOn w:val="691"/>
    <w:link w:val="723"/>
    <w:pPr>
      <w:contextualSpacing/>
      <w:ind w:left="720"/>
      <w:spacing w:after="200" w:line="276" w:lineRule="auto"/>
    </w:pPr>
    <w:rPr>
      <w:sz w:val="28"/>
      <w:szCs w:val="20"/>
    </w:rPr>
  </w:style>
  <w:style w:type="character" w:styleId="723" w:customStyle="1">
    <w:name w:val="List Paragraph Char"/>
    <w:link w:val="722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D4EC6B33E263625F082102B56983E0C9996CC1A13DA93534E5CC9C6F5CC402AC92CBA94E67D53A2wDFEU" TargetMode="External"/><Relationship Id="rId12" Type="http://schemas.openxmlformats.org/officeDocument/2006/relationships/hyperlink" Target="consultantplus://offline/ref=FD4EC6B33E263625F0820E2640F461069F989B101ED89F061B03929BA2C54A7D8E63E3D6A27053AADDEC42w2FFU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2EED-8B20-4714-9A9C-9E2A6D30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109</cp:revision>
  <dcterms:created xsi:type="dcterms:W3CDTF">2023-08-09T12:14:00Z</dcterms:created>
  <dcterms:modified xsi:type="dcterms:W3CDTF">2025-04-30T13:55:36Z</dcterms:modified>
</cp:coreProperties>
</file>