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widowControl w:val="0"/>
        <w:ind w:firstLine="709"/>
        <w:jc w:val="center"/>
      </w:pPr>
      <w:bookmarkStart w:id="1" w:name="_GoBack"/>
      <w:bookmarkEnd w:id="1"/>
      <w:r>
        <w:rPr>
          <w:rFonts w:ascii="Times New Roman" w:hAnsi="Times New Roman"/>
          <w:sz w:val="28"/>
        </w:rPr>
        <w:t>СВОДНЫЙ ОТЧЕТ</w:t>
      </w:r>
    </w:p>
    <w:p w14:paraId="08000000">
      <w:pPr>
        <w:pStyle w:val="Style_2"/>
        <w:widowControl w:val="0"/>
        <w:ind w:firstLine="709"/>
        <w:jc w:val="center"/>
      </w:pPr>
      <w:r>
        <w:rPr>
          <w:rFonts w:ascii="Times New Roman" w:hAnsi="Times New Roman"/>
          <w:sz w:val="28"/>
        </w:rPr>
        <w:t xml:space="preserve">о результатах проведения оценки регулирующего воздействия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проектов муниципальных нормативных правовых актов</w:t>
      </w:r>
    </w:p>
    <w:p w14:paraId="09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0A000000">
      <w:pPr>
        <w:pStyle w:val="Style_2"/>
        <w:widowControl w:val="0"/>
        <w:ind w:firstLine="709"/>
      </w:pPr>
      <w:r>
        <w:rPr>
          <w:rFonts w:ascii="Times New Roman" w:hAnsi="Times New Roman"/>
          <w:sz w:val="28"/>
        </w:rPr>
        <w:t>1. Общая информация</w:t>
      </w:r>
    </w:p>
    <w:p w14:paraId="0B000000">
      <w:pPr>
        <w:pStyle w:val="Style_3"/>
        <w:widowControl w:val="1"/>
        <w:tabs>
          <w:tab w:leader="none" w:pos="1134" w:val="left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1.1. Регулирующий орган: сектор земельных ресурсов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Краснодарского края.</w:t>
      </w:r>
      <w:r>
        <w:rPr>
          <w:rFonts w:ascii="Times New Roman" w:hAnsi="Times New Roman"/>
          <w:sz w:val="28"/>
        </w:rPr>
        <w:t xml:space="preserve"> </w:t>
      </w:r>
    </w:p>
    <w:p w14:paraId="0C000000">
      <w:pPr>
        <w:pStyle w:val="Style_4"/>
        <w:widowControl w:val="0"/>
        <w:ind w:firstLine="708"/>
        <w:jc w:val="both"/>
      </w:pPr>
      <w:r>
        <w:t>1.2. Вид и наименование проекта муниципального нормативного правового акта: проект постановления администрации муниципального образования Ленинградский муниципальный округ Краснодарского края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t>.</w:t>
      </w:r>
    </w:p>
    <w:p w14:paraId="0D000000">
      <w:pPr>
        <w:widowControl w:val="0"/>
        <w:ind/>
        <w:jc w:val="both"/>
      </w:pPr>
      <w:r>
        <w:tab/>
      </w:r>
      <w:r>
        <w:t>1.3. Предполагаемая дата вступления в силу муниципального нормативного правового акта: сентя</w:t>
      </w:r>
      <w:r>
        <w:t>брь</w:t>
      </w:r>
      <w:r>
        <w:t xml:space="preserve"> 2026 года со дня его официального опубликования.</w:t>
      </w:r>
    </w:p>
    <w:p w14:paraId="0E000000">
      <w:pPr>
        <w:pStyle w:val="Style_2"/>
        <w:widowControl w:val="0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1.4. Краткое описание проблемы, на решение которой направлено </w:t>
      </w:r>
      <w:r>
        <w:rPr>
          <w:rFonts w:ascii="Times New Roman" w:hAnsi="Times New Roman"/>
          <w:b w:val="0"/>
          <w:sz w:val="28"/>
        </w:rPr>
        <w:t xml:space="preserve">предлагаемое правовое регулирование: 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XO Thames" w:hAnsi="XO Thames"/>
          <w:color w:val="000000"/>
          <w:sz w:val="28"/>
        </w:rPr>
        <w:t>.</w:t>
      </w:r>
    </w:p>
    <w:p w14:paraId="0F000000">
      <w:pPr>
        <w:widowControl w:val="1"/>
        <w:ind w:firstLine="709"/>
        <w:jc w:val="both"/>
      </w:pPr>
      <w:r>
        <w:rPr>
          <w:color w:themeColor="text1" w:val="000000"/>
        </w:rPr>
        <w:t>1.5. Краткое описание целей предлагаемого правового</w:t>
      </w:r>
      <w:r>
        <w:t xml:space="preserve"> </w:t>
      </w:r>
      <w:r>
        <w:t xml:space="preserve">регулирования: оказание </w:t>
      </w:r>
      <w:r>
        <w:rPr>
          <w:rFonts w:ascii="XO Thames" w:hAnsi="XO Thames"/>
          <w:b w:val="0"/>
          <w:sz w:val="28"/>
        </w:rPr>
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t>.</w:t>
      </w:r>
    </w:p>
    <w:p w14:paraId="10000000">
      <w:pPr>
        <w:widowControl w:val="1"/>
        <w:ind w:firstLine="709"/>
        <w:jc w:val="both"/>
        <w:outlineLvl w:val="1"/>
        <w:rPr>
          <w:b w:val="0"/>
        </w:rPr>
      </w:pPr>
      <w:r>
        <w:rPr>
          <w:b w:val="0"/>
        </w:rPr>
        <w:t xml:space="preserve">1.6. Краткое описание содержания предлагаемого правового регулирования: </w:t>
      </w:r>
      <w:r>
        <w:rPr>
          <w:b w:val="0"/>
        </w:rPr>
        <w:t xml:space="preserve"> разработка и утверждение </w:t>
      </w:r>
      <w:r>
        <w:rPr>
          <w:rFonts w:ascii="XO Thames" w:hAnsi="XO Thames"/>
          <w:b w:val="0"/>
          <w:sz w:val="28"/>
        </w:rPr>
        <w:t>адм</w:t>
      </w:r>
      <w:r>
        <w:rPr>
          <w:rFonts w:ascii="XO Thames" w:hAnsi="XO Thames"/>
          <w:b w:val="0"/>
          <w:sz w:val="28"/>
        </w:rPr>
        <w:t xml:space="preserve">инистративного регламента о предоставлении </w:t>
      </w:r>
      <w:r>
        <w:rPr>
          <w:rFonts w:ascii="XO Thames" w:hAnsi="XO Thames"/>
          <w:b w:val="0"/>
          <w:sz w:val="28"/>
        </w:rPr>
        <w:t xml:space="preserve">муниципальной услуги «Заключение соглашения о перераспределении </w:t>
      </w:r>
      <w:r>
        <w:rPr>
          <w:rFonts w:ascii="XO Thames" w:hAnsi="XO Thames"/>
          <w:b w:val="0"/>
          <w:sz w:val="28"/>
        </w:rPr>
        <w:t xml:space="preserve"> земель и (или) земельных участков, находящихся в государственной </w:t>
      </w:r>
      <w:r>
        <w:rPr>
          <w:rFonts w:ascii="XO Thames" w:hAnsi="XO Thames"/>
          <w:b w:val="0"/>
          <w:sz w:val="28"/>
        </w:rPr>
        <w:t xml:space="preserve">или </w:t>
      </w:r>
      <w:r>
        <w:rPr>
          <w:rFonts w:ascii="XO Thames" w:hAnsi="XO Thames"/>
          <w:b w:val="0"/>
          <w:sz w:val="28"/>
        </w:rPr>
        <w:t xml:space="preserve">муниципальной собственности, и земельных участков, </w:t>
      </w:r>
      <w:r>
        <w:rPr>
          <w:rFonts w:ascii="XO Thames" w:hAnsi="XO Thames"/>
          <w:b w:val="0"/>
          <w:sz w:val="28"/>
        </w:rPr>
        <w:t xml:space="preserve">находящихся в </w:t>
      </w:r>
      <w:r>
        <w:rPr>
          <w:rFonts w:ascii="XO Thames" w:hAnsi="XO Thames"/>
          <w:b w:val="0"/>
          <w:sz w:val="28"/>
        </w:rPr>
        <w:t xml:space="preserve">частной собственности» </w:t>
      </w:r>
      <w:r>
        <w:rPr>
          <w:b w:val="0"/>
        </w:rPr>
        <w:t>в соответствии с действующим законодательством.</w:t>
      </w:r>
    </w:p>
    <w:p w14:paraId="11000000">
      <w:pPr>
        <w:widowControl w:val="0"/>
        <w:ind w:firstLine="680"/>
        <w:contextualSpacing w:val="1"/>
        <w:jc w:val="both"/>
      </w:pPr>
      <w:r>
        <w:t>1.6.1. Степень регулирующего воздействия: высокая</w:t>
      </w:r>
      <w:r>
        <w:t>.</w:t>
      </w:r>
    </w:p>
    <w:p w14:paraId="12000000">
      <w:pPr>
        <w:widowControl w:val="0"/>
        <w:ind w:firstLine="680"/>
        <w:contextualSpacing w:val="1"/>
        <w:jc w:val="both"/>
        <w:rPr>
          <w:shd w:fill="F8D957" w:val="clear"/>
        </w:rPr>
      </w:pPr>
      <w:r>
        <w:rPr>
          <w:rFonts w:ascii="Times New Roman" w:hAnsi="Times New Roman"/>
          <w:sz w:val="28"/>
        </w:rPr>
        <w:t>Проект муниципального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</w:p>
    <w:p w14:paraId="13000000">
      <w:pPr>
        <w:widowControl w:val="1"/>
        <w:ind w:firstLine="680"/>
        <w:jc w:val="both"/>
      </w:pPr>
      <w: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</w:t>
      </w:r>
      <w:r>
        <w:t>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‒ обязательные требования): нет.</w:t>
      </w:r>
    </w:p>
    <w:p w14:paraId="14000000">
      <w:pPr>
        <w:widowControl w:val="1"/>
        <w:ind w:firstLine="680"/>
        <w:jc w:val="both"/>
      </w:pPr>
      <w:r>
        <w:t xml:space="preserve">Обоснование отнесения устанавливаемых новых или изменяемых требований к обязательным требованиям: </w:t>
      </w:r>
      <w:r>
        <w:t>нет</w:t>
      </w:r>
      <w:r>
        <w:t>.</w:t>
      </w:r>
    </w:p>
    <w:p w14:paraId="15000000">
      <w:pPr>
        <w:widowControl w:val="1"/>
        <w:ind w:firstLine="680"/>
        <w:jc w:val="both"/>
      </w:pPr>
      <w:r>
        <w:t xml:space="preserve">Информация о соответствии принципам, установленным Федеральным законом от 31 июля 2020 г. № 247-ФЗ «Об обязательных требованиях в Российской Федерации»: </w:t>
      </w:r>
      <w:r>
        <w:t>обязательные требования в проекте отсутствуют</w:t>
      </w:r>
      <w:r>
        <w:t>.</w:t>
      </w:r>
    </w:p>
    <w:p w14:paraId="16000000">
      <w:pPr>
        <w:widowControl w:val="1"/>
        <w:ind w:firstLine="680"/>
        <w:jc w:val="both"/>
      </w:pPr>
      <w:r>
        <w:t xml:space="preserve"> </w:t>
      </w:r>
      <w:r>
        <w:t>Информация о соблюдении условий установлени</w:t>
      </w:r>
      <w:r>
        <w:t>я обязательных требований в соответствии с Порядком</w:t>
      </w:r>
      <w:r>
        <w:t xml:space="preserve"> </w:t>
      </w:r>
      <w:r>
        <w:t xml:space="preserve">установления и оценки применения, устанавливаемых муниципальными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контроля: </w:t>
      </w:r>
      <w:r>
        <w:t>обязательные требования в проекте отсутствуют</w:t>
      </w:r>
      <w:r>
        <w:t>.</w:t>
      </w:r>
    </w:p>
    <w:p w14:paraId="17000000">
      <w:pPr>
        <w:widowControl w:val="1"/>
        <w:ind w:firstLine="567"/>
      </w:pPr>
      <w:r>
        <w:t>1.7. Контактная информация исполнителя в регулирующем органе:</w:t>
      </w:r>
    </w:p>
    <w:p w14:paraId="1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Ф.И.О. Терещенко Эльвира Станиславовна</w:t>
      </w:r>
    </w:p>
    <w:p w14:paraId="19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</w:t>
      </w:r>
      <w:r>
        <w:rPr>
          <w:rFonts w:ascii="Times New Roman" w:hAnsi="Times New Roman"/>
          <w:sz w:val="28"/>
        </w:rPr>
        <w:t xml:space="preserve">главный специалист сектора земельных ресурсов отдела имущественных отношений администрации муниципального образования Ленинградский муниципальный округ Краснодарского края. </w:t>
      </w:r>
    </w:p>
    <w:p w14:paraId="1A000000">
      <w:pPr>
        <w:pStyle w:val="Style_3"/>
        <w:widowControl w:val="1"/>
        <w:ind w:firstLine="567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Тел.: 8(86145) 7-08-78 (доб.215), адрес электронной почты: Otdel19MO@yandex.ru</w:t>
      </w:r>
      <w:r>
        <w:rPr>
          <w:rStyle w:val="Style_5_ch"/>
          <w:rFonts w:ascii="Times New Roman" w:hAnsi="Times New Roman"/>
          <w:color w:themeColor="text1" w:val="000000"/>
          <w:sz w:val="28"/>
        </w:rPr>
        <w:t>.</w:t>
      </w:r>
    </w:p>
    <w:p w14:paraId="1B000000">
      <w:pPr>
        <w:pStyle w:val="Style_3"/>
        <w:widowControl w:val="1"/>
        <w:ind w:firstLine="450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2. Описание проблемы, на решение </w:t>
      </w:r>
      <w:r>
        <w:rPr>
          <w:rFonts w:ascii="Times New Roman" w:hAnsi="Times New Roman"/>
          <w:sz w:val="28"/>
        </w:rPr>
        <w:t>которой направлено</w:t>
      </w:r>
      <w:r>
        <w:rPr>
          <w:rFonts w:ascii="Times New Roman" w:hAnsi="Times New Roman"/>
          <w:sz w:val="28"/>
        </w:rPr>
        <w:t xml:space="preserve"> предлагаемое правовое регулирование: </w:t>
      </w: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XO Thames" w:hAnsi="XO Thames"/>
          <w:color w:val="000000"/>
          <w:sz w:val="28"/>
        </w:rPr>
        <w:t>.</w:t>
      </w:r>
    </w:p>
    <w:p w14:paraId="1C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t xml:space="preserve"> </w:t>
      </w:r>
      <w:r>
        <w:t>2.1. Формулировка проблемы:изменения, у</w:t>
      </w:r>
      <w:r>
        <w:rPr>
          <w:rFonts w:ascii="XO Thames" w:hAnsi="XO Thames"/>
          <w:color w:val="000000"/>
          <w:sz w:val="28"/>
        </w:rPr>
        <w:t xml:space="preserve">становленные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(с изменениями и дополнениями)</w:t>
      </w:r>
      <w:r>
        <w:t xml:space="preserve">,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Федеральным законом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 Земельным кодексом Российской Федерации.</w:t>
      </w:r>
      <w:r>
        <w:t xml:space="preserve"> </w:t>
      </w:r>
    </w:p>
    <w:p w14:paraId="1D000000">
      <w:pPr>
        <w:widowControl w:val="1"/>
        <w:ind w:firstLine="567"/>
        <w:jc w:val="both"/>
      </w:pPr>
      <w:r>
        <w:t xml:space="preserve">2.2. Информация о возникновении, выявлении проблемы и мерах, принятых ранее для ее решения, достигнутых результатах и затраченных ресурсах: </w:t>
      </w:r>
      <w:r>
        <w:t>в</w:t>
      </w:r>
      <w:r>
        <w:t xml:space="preserve"> инициативном порядке по факту внесения изменений</w:t>
      </w:r>
      <w:r>
        <w:t xml:space="preserve"> в Федеральный закон от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27 июля 2010 года № 210-ФЗ «Об организации предоставления государственных и муниципальных услуг</w:t>
      </w:r>
      <w:r>
        <w:t>», в статьи 39.28 и 39.29 Земельного кодекса Российской Федерации.</w:t>
      </w:r>
    </w:p>
    <w:p w14:paraId="1E000000">
      <w:pPr>
        <w:widowControl w:val="1"/>
        <w:ind w:firstLine="567"/>
        <w:jc w:val="both"/>
      </w:pPr>
      <w:r>
        <w:rPr>
          <w:rFonts w:ascii="Times New Roman" w:hAnsi="Times New Roman"/>
          <w:sz w:val="28"/>
        </w:rPr>
        <w:t>Данные о затраченных ресурсах отсутствуют.</w:t>
      </w:r>
    </w:p>
    <w:p w14:paraId="1F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2.3. Субъекты общественных отношений, заинтересованные в устранении проблемы, их количественная оценка: граждане</w:t>
      </w:r>
      <w:r>
        <w:rPr>
          <w:rFonts w:ascii="Times New Roman" w:hAnsi="Times New Roman"/>
          <w:sz w:val="28"/>
        </w:rPr>
        <w:t xml:space="preserve"> и юридические лица собственники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земельных участков, </w:t>
      </w:r>
      <w:r>
        <w:rPr>
          <w:rFonts w:ascii="Times New Roman" w:hAnsi="Times New Roman"/>
          <w:sz w:val="28"/>
        </w:rPr>
        <w:t>заинтересованные в предоставлении муниципальной услуги.</w:t>
      </w:r>
    </w:p>
    <w:p w14:paraId="20000000">
      <w:pPr>
        <w:widowControl w:val="0"/>
        <w:ind w:firstLine="680"/>
        <w:jc w:val="both"/>
      </w:pPr>
      <w:r>
        <w:t>Их количество неограниченно.</w:t>
      </w:r>
    </w:p>
    <w:p w14:paraId="21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 xml:space="preserve">2.4. Характеристика негативных эффектов, возникающих в связи с наличием проблемы, их количественная оценка,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(ущерба): </w:t>
      </w: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XO Thames" w:hAnsi="XO Thames"/>
          <w:color w:val="000000"/>
          <w:sz w:val="28"/>
        </w:rPr>
        <w:t>.</w:t>
      </w:r>
    </w:p>
    <w:p w14:paraId="22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color w:val="000000"/>
        </w:rPr>
        <w:t>2.5</w:t>
      </w:r>
      <w:r>
        <w:t xml:space="preserve">. </w:t>
      </w:r>
      <w:r>
        <w:t>Причины возникновения</w:t>
      </w:r>
      <w:r>
        <w:t xml:space="preserve"> проблемы и факторы, поддерживающие ее существование: изменения, установленные 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(с изменениями и дополнениями)</w:t>
      </w:r>
      <w:r>
        <w:t xml:space="preserve">,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Федеральным законом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 Земельным кодексом Российской Федерации.</w:t>
      </w:r>
      <w:r>
        <w:t xml:space="preserve"> </w:t>
      </w:r>
      <w:r>
        <w:t xml:space="preserve"> </w:t>
      </w:r>
    </w:p>
    <w:p w14:paraId="23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>: нормативные правовые</w:t>
      </w:r>
      <w:r>
        <w:rPr>
          <w:rFonts w:ascii="Times New Roman" w:hAnsi="Times New Roman"/>
          <w:sz w:val="28"/>
        </w:rPr>
        <w:t xml:space="preserve"> акты </w:t>
      </w:r>
      <w:r>
        <w:rPr>
          <w:rFonts w:ascii="Times New Roman" w:hAnsi="Times New Roman"/>
          <w:sz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14:paraId="24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Опыт решения аналогичных проблем в других субъектах Российской Федерации, муниципальных образованиях Краснодарского края иностранных государствах: </w:t>
      </w:r>
      <w:r>
        <w:rPr>
          <w:rFonts w:ascii="Times New Roman" w:hAnsi="Times New Roman"/>
          <w:sz w:val="28"/>
        </w:rPr>
        <w:t xml:space="preserve"> в других муниципальных образованиях Краснодарского края </w:t>
      </w:r>
      <w:r>
        <w:rPr>
          <w:rFonts w:ascii="Times New Roman" w:hAnsi="Times New Roman"/>
          <w:sz w:val="28"/>
        </w:rPr>
        <w:t>данная проблема решается аналогичным образом.</w:t>
      </w:r>
    </w:p>
    <w:p w14:paraId="25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 xml:space="preserve">2.8. Источники данных: источником информации являются официальные сайты: </w:t>
      </w:r>
      <w:r>
        <w:rPr>
          <w:rFonts w:ascii="Times New Roman" w:hAnsi="Times New Roman"/>
          <w:sz w:val="28"/>
        </w:rPr>
        <w:t xml:space="preserve">Правительства РФ, </w:t>
      </w:r>
      <w:r>
        <w:rPr>
          <w:rFonts w:ascii="Times New Roman" w:hAnsi="Times New Roman"/>
          <w:sz w:val="28"/>
        </w:rPr>
        <w:t>департамента имущественных отношений Краснодарского края</w:t>
      </w:r>
      <w:r>
        <w:rPr>
          <w:rFonts w:ascii="Times New Roman" w:hAnsi="Times New Roman"/>
          <w:sz w:val="28"/>
        </w:rPr>
        <w:t>, администраций муниципальных образований Краснодарского края</w:t>
      </w:r>
      <w:r>
        <w:t>,</w:t>
      </w:r>
      <w:r>
        <w:rPr>
          <w:rFonts w:ascii="XO Thames" w:hAnsi="XO Thames"/>
          <w:color w:val="000000"/>
          <w:sz w:val="28"/>
        </w:rPr>
        <w:t xml:space="preserve"> информационная правовая поддержка «система ГАРАНТ».</w:t>
      </w:r>
    </w:p>
    <w:p w14:paraId="26000000">
      <w:pPr>
        <w:widowControl w:val="0"/>
        <w:ind w:firstLine="680"/>
        <w:jc w:val="both"/>
      </w:pPr>
      <w:r>
        <w:t xml:space="preserve">Официальный сайт администрации муниципального образования Ленинградский муниципальный округ Краснодарского края: </w:t>
      </w:r>
      <w:r>
        <w:rPr>
          <w:color w:val="000000"/>
        </w:rPr>
        <w:t xml:space="preserve"> «Интернет» (</w:t>
      </w:r>
      <w:r>
        <w:rPr>
          <w:color w:val="000000"/>
        </w:rPr>
        <w:t>adminlenkub.ru</w:t>
      </w:r>
      <w:r>
        <w:rPr>
          <w:color w:val="000000"/>
        </w:rPr>
        <w:t>)</w:t>
      </w:r>
      <w:r>
        <w:t>.</w:t>
      </w:r>
    </w:p>
    <w:p w14:paraId="27000000">
      <w:pPr>
        <w:pStyle w:val="Style_2"/>
        <w:widowControl w:val="0"/>
        <w:ind w:firstLine="708"/>
        <w:jc w:val="both"/>
      </w:pPr>
      <w:r>
        <w:rPr>
          <w:rFonts w:ascii="Times New Roman" w:hAnsi="Times New Roman"/>
          <w:sz w:val="28"/>
        </w:rPr>
        <w:t>2.9. Иная информация о проблеме: данные отсутствуют.  </w:t>
      </w:r>
    </w:p>
    <w:p w14:paraId="28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3. Определение целей предлагаемого правового регулирования и индикаторов для оценки их достижения:</w:t>
      </w:r>
    </w:p>
    <w:p w14:paraId="29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6"/>
        <w:tblW w:type="auto" w:w="0"/>
        <w:tblInd w:type="dxa" w:w="75"/>
        <w:tblLayout w:type="fixed"/>
        <w:tblCellMar>
          <w:left w:type="dxa" w:w="75"/>
          <w:right w:type="dxa" w:w="75"/>
        </w:tblCellMar>
      </w:tblPr>
      <w:tblGrid>
        <w:gridCol w:w="2967"/>
        <w:gridCol w:w="2837"/>
        <w:gridCol w:w="3826"/>
      </w:tblGrid>
      <w:tr>
        <w:tc>
          <w:tcPr>
            <w:tcW w:type="dxa" w:w="2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A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B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C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103"/>
        </w:trPr>
        <w:tc>
          <w:tcPr>
            <w:tcW w:type="dxa" w:w="2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D000000">
            <w:pPr>
              <w:pStyle w:val="Style_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Оказание </w:t>
            </w:r>
            <w:r>
              <w:rPr>
                <w:rFonts w:ascii="Times New Roman" w:hAnsi="Times New Roman"/>
                <w:b w:val="0"/>
                <w:sz w:val="22"/>
              </w:rPr>
      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E000000">
            <w:pPr>
              <w:widowControl w:val="0"/>
              <w:ind/>
            </w:pPr>
            <w:r>
              <w:rPr>
                <w:sz w:val="26"/>
              </w:rPr>
              <w:t xml:space="preserve"> Сентябрь</w:t>
            </w:r>
            <w:r>
              <w:rPr>
                <w:sz w:val="26"/>
              </w:rPr>
              <w:t xml:space="preserve"> 202</w:t>
            </w:r>
            <w:r>
              <w:t>6</w:t>
            </w:r>
          </w:p>
          <w:p w14:paraId="2F000000">
            <w:pPr>
              <w:widowControl w:val="0"/>
              <w:ind/>
              <w:rPr>
                <w:sz w:val="26"/>
              </w:rPr>
            </w:pPr>
          </w:p>
          <w:p w14:paraId="30000000">
            <w:pPr>
              <w:widowControl w:val="0"/>
              <w:ind/>
              <w:rPr>
                <w:sz w:val="26"/>
              </w:rPr>
            </w:pPr>
          </w:p>
          <w:p w14:paraId="31000000">
            <w:pPr>
              <w:widowControl w:val="0"/>
              <w:ind/>
              <w:rPr>
                <w:sz w:val="26"/>
              </w:rPr>
            </w:pPr>
          </w:p>
          <w:p w14:paraId="32000000">
            <w:pPr>
              <w:widowControl w:val="0"/>
              <w:ind/>
              <w:rPr>
                <w:sz w:val="26"/>
              </w:rPr>
            </w:pPr>
          </w:p>
          <w:p w14:paraId="33000000">
            <w:pPr>
              <w:widowControl w:val="0"/>
              <w:ind/>
              <w:rPr>
                <w:sz w:val="26"/>
              </w:rPr>
            </w:pPr>
          </w:p>
          <w:p w14:paraId="34000000">
            <w:pPr>
              <w:widowControl w:val="0"/>
              <w:ind/>
              <w:rPr>
                <w:sz w:val="26"/>
              </w:rPr>
            </w:pPr>
          </w:p>
          <w:p w14:paraId="35000000">
            <w:pPr>
              <w:widowControl w:val="0"/>
              <w:ind/>
              <w:rPr>
                <w:sz w:val="26"/>
              </w:rPr>
            </w:pPr>
          </w:p>
          <w:p w14:paraId="36000000">
            <w:pPr>
              <w:widowControl w:val="0"/>
              <w:ind/>
              <w:rPr>
                <w:sz w:val="26"/>
              </w:rPr>
            </w:pPr>
          </w:p>
          <w:p w14:paraId="37000000">
            <w:pPr>
              <w:widowControl w:val="0"/>
              <w:ind/>
              <w:rPr>
                <w:sz w:val="26"/>
              </w:rPr>
            </w:pPr>
          </w:p>
          <w:p w14:paraId="38000000">
            <w:pPr>
              <w:widowControl w:val="0"/>
              <w:ind/>
              <w:rPr>
                <w:sz w:val="26"/>
              </w:rPr>
            </w:pP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9000000">
            <w:pPr>
              <w:widowControl w:val="0"/>
              <w:ind/>
            </w:pPr>
            <w:r>
              <w:rPr>
                <w:sz w:val="26"/>
              </w:rPr>
              <w:t xml:space="preserve"> Не нуждается в мониторинге</w:t>
            </w:r>
          </w:p>
          <w:p w14:paraId="3A000000">
            <w:pPr>
              <w:widowControl w:val="0"/>
              <w:ind/>
              <w:rPr>
                <w:sz w:val="26"/>
              </w:rPr>
            </w:pPr>
          </w:p>
          <w:p w14:paraId="3B000000">
            <w:pPr>
              <w:widowControl w:val="0"/>
              <w:ind/>
              <w:rPr>
                <w:sz w:val="26"/>
              </w:rPr>
            </w:pPr>
          </w:p>
          <w:p w14:paraId="3C000000">
            <w:pPr>
              <w:widowControl w:val="0"/>
              <w:ind/>
              <w:rPr>
                <w:sz w:val="26"/>
              </w:rPr>
            </w:pPr>
          </w:p>
          <w:p w14:paraId="3D000000">
            <w:pPr>
              <w:widowControl w:val="0"/>
              <w:ind/>
              <w:rPr>
                <w:sz w:val="26"/>
              </w:rPr>
            </w:pPr>
          </w:p>
          <w:p w14:paraId="3E000000">
            <w:pPr>
              <w:widowControl w:val="0"/>
              <w:ind/>
              <w:rPr>
                <w:sz w:val="26"/>
              </w:rPr>
            </w:pPr>
          </w:p>
          <w:p w14:paraId="3F000000">
            <w:pPr>
              <w:widowControl w:val="0"/>
              <w:ind/>
              <w:rPr>
                <w:sz w:val="26"/>
              </w:rPr>
            </w:pPr>
          </w:p>
          <w:p w14:paraId="40000000">
            <w:pPr>
              <w:widowControl w:val="0"/>
              <w:ind/>
              <w:rPr>
                <w:sz w:val="26"/>
              </w:rPr>
            </w:pPr>
          </w:p>
        </w:tc>
      </w:tr>
    </w:tbl>
    <w:p w14:paraId="4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4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14:paraId="43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</w:t>
      </w:r>
      <w:r>
        <w:t xml:space="preserve">»; </w:t>
      </w:r>
    </w:p>
    <w:p w14:paraId="44000000">
      <w:pPr>
        <w:widowControl w:val="1"/>
        <w:ind w:firstLine="567"/>
        <w:jc w:val="both"/>
      </w:pPr>
      <w:r>
        <w:t xml:space="preserve">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Федеральный закон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</w:t>
      </w:r>
    </w:p>
    <w:p w14:paraId="45000000">
      <w:pPr>
        <w:widowControl w:val="1"/>
        <w:ind w:firstLine="567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Федеральный закон от 20 марта 2025 г. № 33-ФЗ «Об общих принципах организации местного самоуправления в единой системе публичной власти».</w:t>
      </w:r>
    </w:p>
    <w:p w14:paraId="46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Земельный кодекс Российской Федерации;</w:t>
      </w:r>
      <w:r>
        <w:t xml:space="preserve"> </w:t>
      </w:r>
    </w:p>
    <w:p w14:paraId="47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муниципального образования Ленинградский район</w:t>
      </w:r>
      <w:r>
        <w:rPr>
          <w:rFonts w:ascii="Times New Roman" w:hAnsi="Times New Roman"/>
          <w:sz w:val="28"/>
        </w:rPr>
        <w:t>.</w:t>
      </w:r>
    </w:p>
    <w:tbl>
      <w:tblPr>
        <w:tblStyle w:val="Style_6"/>
        <w:tblW w:type="auto" w:w="0"/>
        <w:jc w:val="center"/>
        <w:tblLayout w:type="fixed"/>
      </w:tblPr>
      <w:tblGrid>
        <w:gridCol w:w="3191"/>
        <w:gridCol w:w="2465"/>
        <w:gridCol w:w="1914"/>
        <w:gridCol w:w="24"/>
        <w:gridCol w:w="1933"/>
      </w:tblGrid>
      <w:tr>
        <w:tc>
          <w:tcPr>
            <w:tcW w:type="dxa" w:w="3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pStyle w:val="Style_2"/>
              <w:widowControl w:val="0"/>
              <w:ind w:firstLine="15" w:right="-67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pStyle w:val="Style_2"/>
              <w:widowControl w:val="0"/>
              <w:ind w:firstLine="15" w:right="-67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3.6. Индикаторы    достижения целей предлагаемого правового регулирования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2"/>
              <w:widowControl w:val="0"/>
              <w:ind w:firstLine="15" w:right="-67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3.7. Единица   измерения      индикаторов</w:t>
            </w:r>
          </w:p>
        </w:tc>
        <w:tc>
          <w:tcPr>
            <w:tcW w:type="dxa" w:w="1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pStyle w:val="Style_2"/>
              <w:widowControl w:val="0"/>
              <w:ind w:firstLine="15" w:right="-67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rPr>
          <w:trHeight w:hRule="atLeast" w:val="1100"/>
        </w:trPr>
        <w:tc>
          <w:tcPr>
            <w:tcW w:type="dxa" w:w="3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 w:firstLine="283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Оказание </w:t>
            </w:r>
            <w:r>
              <w:rPr>
                <w:rFonts w:ascii="XO Thames" w:hAnsi="XO Thames"/>
                <w:b w:val="0"/>
                <w:sz w:val="22"/>
              </w:rPr>
              <w:t>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>
              <w:rPr>
                <w:sz w:val="22"/>
              </w:rPr>
              <w:t>.</w:t>
            </w:r>
          </w:p>
          <w:p w14:paraId="4D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4E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4F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0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1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2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3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4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5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6000000">
            <w:pPr>
              <w:pStyle w:val="Style_2"/>
              <w:widowControl w:val="0"/>
              <w:ind w:left="349"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pStyle w:val="Style_2"/>
              <w:widowControl w:val="0"/>
              <w:ind w:firstLine="15" w:right="-67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Количество заключенных соглашений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собственности».</w:t>
            </w:r>
          </w:p>
        </w:tc>
        <w:tc>
          <w:tcPr>
            <w:tcW w:type="dxa" w:w="19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rPr>
                <w:sz w:val="24"/>
              </w:rPr>
            </w:pPr>
            <w:r>
              <w:rPr/>
              <w:t xml:space="preserve">       </w:t>
            </w:r>
            <w:r>
              <w:rPr>
                <w:sz w:val="24"/>
              </w:rPr>
              <w:t xml:space="preserve"> шт.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pStyle w:val="Style_8"/>
              <w:widowControl w:val="1"/>
              <w:ind/>
              <w:jc w:val="center"/>
              <w:rPr/>
            </w:pPr>
            <w:r>
              <w:rPr/>
              <w:t>Заключены соглашения:</w:t>
            </w:r>
          </w:p>
          <w:p w14:paraId="5A000000">
            <w:pPr>
              <w:pStyle w:val="Style_8"/>
              <w:widowControl w:val="1"/>
              <w:ind/>
              <w:jc w:val="center"/>
              <w:rPr/>
            </w:pPr>
            <w:r>
              <w:rPr/>
              <w:t>2024 – 31</w:t>
            </w:r>
          </w:p>
          <w:p w14:paraId="5B000000">
            <w:pPr>
              <w:pStyle w:val="Style_8"/>
              <w:widowControl w:val="1"/>
              <w:ind/>
              <w:jc w:val="center"/>
              <w:rPr/>
            </w:pPr>
            <w:r>
              <w:rPr/>
              <w:t>2025 – 45</w:t>
            </w:r>
          </w:p>
          <w:p w14:paraId="5C000000">
            <w:pPr>
              <w:pStyle w:val="Style_8"/>
              <w:widowControl w:val="1"/>
              <w:ind/>
              <w:jc w:val="center"/>
              <w:rPr/>
            </w:pPr>
            <w:r>
              <w:rPr/>
              <w:t>2026- 30</w:t>
            </w:r>
          </w:p>
        </w:tc>
      </w:tr>
    </w:tbl>
    <w:p w14:paraId="5D000000">
      <w:pPr>
        <w:pStyle w:val="Style_2"/>
        <w:widowControl w:val="0"/>
        <w:ind w:firstLine="709"/>
        <w:jc w:val="both"/>
        <w:rPr>
          <w:shd w:fill="F8D957" w:val="clear"/>
        </w:rPr>
      </w:pPr>
    </w:p>
    <w:p w14:paraId="5E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 xml:space="preserve">3.9. Методы расчета </w:t>
      </w:r>
      <w:r>
        <w:rPr>
          <w:rFonts w:ascii="Times New Roman" w:hAnsi="Times New Roman"/>
          <w:sz w:val="28"/>
        </w:rPr>
        <w:t>индикаторов достижения</w:t>
      </w:r>
      <w:r>
        <w:rPr>
          <w:rFonts w:ascii="Times New Roman" w:hAnsi="Times New Roman"/>
          <w:sz w:val="28"/>
        </w:rPr>
        <w:t xml:space="preserve"> целей предлагаемого  правового регулирования, источники информации для расчетов: отсутствуют.</w:t>
      </w:r>
    </w:p>
    <w:p w14:paraId="5F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3.10. Оценка затрат на проведение мониторинга достижения целей предлагаемого правового регулирования: отсутствует. </w:t>
      </w:r>
    </w:p>
    <w:p w14:paraId="60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 xml:space="preserve">4. Качественная характеристика </w:t>
      </w:r>
      <w:r>
        <w:rPr>
          <w:rFonts w:ascii="Times New Roman" w:hAnsi="Times New Roman"/>
          <w:sz w:val="28"/>
        </w:rPr>
        <w:t>и оценка численности потенциальных адресатов предлагаемого правового регулирования (их групп):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4611"/>
        <w:gridCol w:w="2827"/>
        <w:gridCol w:w="2276"/>
      </w:tblGrid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1000000">
            <w:pPr>
              <w:pStyle w:val="Style_2"/>
              <w:widowControl w:val="0"/>
              <w:ind w:right="-75"/>
              <w:jc w:val="center"/>
              <w:rPr>
                <w:rFonts w:ascii="Times New Roman" w:hAnsi="Times New Roman"/>
                <w:sz w:val="24"/>
              </w:rPr>
            </w:pPr>
            <w:bookmarkStart w:id="2" w:name="Par230"/>
            <w:bookmarkEnd w:id="2"/>
          </w:p>
          <w:p w14:paraId="62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        характеристик)</w:t>
            </w:r>
          </w:p>
        </w:tc>
        <w:tc>
          <w:tcPr>
            <w:tcW w:type="dxa" w:w="2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3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4.2. Количество</w:t>
            </w:r>
          </w:p>
          <w:p w14:paraId="64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участников группы</w:t>
            </w:r>
          </w:p>
        </w:tc>
        <w:tc>
          <w:tcPr>
            <w:tcW w:type="dxa" w:w="2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5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4.3. Источники</w:t>
            </w:r>
          </w:p>
          <w:p w14:paraId="66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данных</w:t>
            </w:r>
          </w:p>
        </w:tc>
      </w:tr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7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Граждане и физические лица – собственники земельных участков, заинтересованные в предоставлении муниципальной услуги</w:t>
            </w:r>
          </w:p>
        </w:tc>
        <w:tc>
          <w:tcPr>
            <w:tcW w:type="dxa" w:w="2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8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9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6A000000">
      <w:pPr>
        <w:pStyle w:val="Style_2"/>
        <w:widowControl w:val="0"/>
        <w:ind w:firstLine="709"/>
        <w:jc w:val="both"/>
      </w:pPr>
    </w:p>
    <w:p w14:paraId="6B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 xml:space="preserve">5. </w:t>
      </w:r>
      <w:r>
        <w:rPr>
          <w:rFonts w:ascii="Times New Roman" w:hAnsi="Times New Roman"/>
          <w:sz w:val="28"/>
        </w:rPr>
        <w:t>Изменение функций (полномочий, обязанностей, прав) органов местного самоуправления муниципального</w:t>
      </w:r>
      <w:r>
        <w:rPr>
          <w:rFonts w:ascii="Times New Roman" w:hAnsi="Times New Roman"/>
          <w:sz w:val="28"/>
        </w:rPr>
        <w:t xml:space="preserve"> образования Ленинградский муниципальный округ, а также порядка их реализации в связи с введением предлагаемого правового регулирования: 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2484"/>
        <w:gridCol w:w="1492"/>
        <w:gridCol w:w="2268"/>
        <w:gridCol w:w="1931"/>
        <w:gridCol w:w="1680"/>
      </w:tblGrid>
      <w:tr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C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5.1.Наименование функции (полномочия, обязанности или права)</w:t>
            </w:r>
          </w:p>
        </w:tc>
        <w:tc>
          <w:tcPr>
            <w:tcW w:type="dxa" w:w="1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D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5.2. Характер функции (новая /    изменяемая / отменяемая)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5.3. Предполагаемый порядок реализации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F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0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5.5.Оценка     изменения      потребностей в других ресурсах</w:t>
            </w:r>
          </w:p>
        </w:tc>
      </w:tr>
      <w:tr>
        <w:trPr>
          <w:trHeight w:hRule="atLeast" w:val="680"/>
        </w:trPr>
        <w:tc>
          <w:tcPr>
            <w:tcW w:type="dxa" w:w="985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1000000">
            <w:pPr>
              <w:pStyle w:val="Style_2"/>
              <w:widowControl w:val="0"/>
              <w:numPr>
                <w:ilvl w:val="0"/>
                <w:numId w:val="1"/>
              </w:numPr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Наименование органа местного самоуправления:</w:t>
            </w:r>
          </w:p>
          <w:p w14:paraId="72000000">
            <w:pPr>
              <w:pStyle w:val="Style_2"/>
              <w:widowControl w:val="0"/>
              <w:ind w:left="60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3"/>
              </w:rPr>
              <w:t>с</w:t>
            </w:r>
            <w:r>
              <w:rPr>
                <w:rFonts w:ascii="Times New Roman" w:hAnsi="Times New Roman"/>
                <w:sz w:val="22"/>
              </w:rPr>
              <w:t>ектор земельных ресурсов отдела имущественных отношений администрации</w:t>
            </w:r>
            <w:r>
              <w:rPr>
                <w:rFonts w:ascii="Times New Roman" w:hAnsi="Times New Roman"/>
                <w:sz w:val="22"/>
              </w:rPr>
              <w:t xml:space="preserve"> муниципального образования </w:t>
            </w:r>
            <w:r>
              <w:rPr>
                <w:rFonts w:ascii="Times New Roman" w:hAnsi="Times New Roman"/>
                <w:sz w:val="22"/>
              </w:rPr>
              <w:t xml:space="preserve">Ленинградский </w:t>
            </w:r>
            <w:r>
              <w:rPr>
                <w:rFonts w:ascii="XO Thames" w:hAnsi="XO Thames"/>
                <w:color w:val="000000"/>
                <w:sz w:val="22"/>
              </w:rPr>
              <w:t>муниципальный округ Краснодарского края</w:t>
            </w:r>
          </w:p>
        </w:tc>
      </w:tr>
      <w:tr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3000000">
            <w:pPr>
              <w:pStyle w:val="Style_2"/>
              <w:widowControl w:val="0"/>
              <w:ind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3"/>
              </w:rPr>
              <w:t xml:space="preserve">Заключение соглашения о перераспределении земельного участка с физическим или юридическим лицом, в целях </w:t>
            </w:r>
            <w:r>
              <w:rPr>
                <w:rFonts w:ascii="XO Thames" w:hAnsi="XO Thames"/>
              </w:rPr>
              <w:t>перераспределения земель и (или) земельного участка, находящегося  в государственной или муниципальной собственности, и земельного участка, находящегося в частной собственности</w:t>
            </w:r>
          </w:p>
        </w:tc>
        <w:tc>
          <w:tcPr>
            <w:tcW w:type="dxa" w:w="1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Новая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 xml:space="preserve">Согласно </w:t>
            </w:r>
            <w:r>
              <w:rPr>
                <w:rFonts w:ascii="Times New Roman" w:hAnsi="Times New Roman"/>
                <w:sz w:val="23"/>
              </w:rPr>
              <w:t>утвержденному административному</w:t>
            </w:r>
            <w:r>
              <w:rPr>
                <w:rFonts w:ascii="Times New Roman" w:hAnsi="Times New Roman"/>
                <w:color w:val="000000"/>
                <w:sz w:val="23"/>
              </w:rPr>
              <w:t xml:space="preserve"> регламенту по предоставлению муниципальной услуги</w:t>
            </w:r>
            <w:r>
              <w:rPr>
                <w:rFonts w:ascii="Times New Roman" w:hAnsi="Times New Roman"/>
                <w:color w:val="00000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2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color w:val="000000"/>
                <w:sz w:val="23"/>
              </w:rPr>
              <w:t xml:space="preserve"> на территории муниципального образования Ленинградский муниципальный округ Краснодарского края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7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В пределах</w:t>
            </w:r>
          </w:p>
          <w:p w14:paraId="78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штатной</w:t>
            </w:r>
          </w:p>
          <w:p w14:paraId="79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численности</w:t>
            </w:r>
          </w:p>
          <w:p w14:paraId="7A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сотрудников</w:t>
            </w:r>
          </w:p>
          <w:p w14:paraId="7B000000">
            <w:pPr>
              <w:pStyle w:val="Style_2"/>
              <w:widowControl w:val="0"/>
              <w:ind/>
              <w:jc w:val="center"/>
            </w:pPr>
            <w:r>
              <w:rPr>
                <w:rStyle w:val="Style_10_ch"/>
                <w:sz w:val="24"/>
              </w:rPr>
              <w:t>сектора земельных ресурсов отдела имущественных отношений администрации</w:t>
            </w:r>
            <w:r>
              <w:rPr>
                <w:rStyle w:val="Style_10_ch"/>
                <w:sz w:val="24"/>
              </w:rPr>
              <w:t xml:space="preserve"> муниципального образования Ленинградский </w:t>
            </w:r>
            <w:r>
              <w:rPr>
                <w:rFonts w:ascii="XO Thames" w:hAnsi="XO Thames"/>
              </w:rPr>
              <w:t>муниципальный округ Краснодарского края</w:t>
            </w:r>
          </w:p>
        </w:tc>
        <w:tc>
          <w:tcPr>
            <w:tcW w:type="dxa" w:w="1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C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Отсутствует</w:t>
            </w:r>
          </w:p>
        </w:tc>
      </w:tr>
    </w:tbl>
    <w:p w14:paraId="7D000000">
      <w:pPr>
        <w:pStyle w:val="Style_2"/>
        <w:widowControl w:val="0"/>
        <w:ind w:firstLine="709"/>
        <w:jc w:val="both"/>
      </w:pPr>
      <w:bookmarkStart w:id="3" w:name="Par248"/>
      <w:bookmarkEnd w:id="3"/>
      <w:r>
        <w:rPr>
          <w:rFonts w:ascii="Times New Roman" w:hAnsi="Times New Roman"/>
          <w:sz w:val="28"/>
        </w:rPr>
        <w:t xml:space="preserve">6. Оценка дополнительных расходов бюджета муниципального образования Ленинградский муниципальный округ, связанных с введением предлагаемого правового регулирования: 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3875"/>
        <w:gridCol w:w="3553"/>
        <w:gridCol w:w="2400"/>
      </w:tblGrid>
      <w:tr>
        <w:trPr>
          <w:trHeight w:hRule="atLeast" w:val="1442"/>
        </w:trPr>
        <w:tc>
          <w:tcPr>
            <w:tcW w:type="dxa" w:w="3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F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6.2.Виды расходов (возможных поступлений) местного бюджета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0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тыс. рублей</w:t>
            </w:r>
          </w:p>
        </w:tc>
      </w:tr>
      <w:tr>
        <w:trPr>
          <w:trHeight w:hRule="atLeast" w:val="737"/>
        </w:trPr>
        <w:tc>
          <w:tcPr>
            <w:tcW w:type="dxa" w:w="98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1000000">
            <w:pPr>
              <w:pStyle w:val="Style_2"/>
              <w:widowControl w:val="0"/>
              <w:numPr>
                <w:ilvl w:val="0"/>
                <w:numId w:val="2"/>
              </w:numPr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Наименование органа местного самоуправления:</w:t>
            </w:r>
          </w:p>
          <w:p w14:paraId="82000000">
            <w:pPr>
              <w:pStyle w:val="Style_2"/>
              <w:widowControl w:val="0"/>
              <w:ind w:left="360"/>
              <w:jc w:val="center"/>
            </w:pPr>
            <w:r>
              <w:rPr>
                <w:rFonts w:ascii="Times New Roman" w:hAnsi="Times New Roman"/>
                <w:sz w:val="24"/>
              </w:rPr>
              <w:t>сектор земельных ресурсов отдела имущественных отношений администрации муниципального образования Ленинградски</w:t>
            </w:r>
            <w:r>
              <w:rPr>
                <w:rFonts w:ascii="XO Thames" w:hAnsi="XO Thames"/>
                <w:sz w:val="24"/>
              </w:rPr>
              <w:t>й муниципальный округ Краснодарского края</w:t>
            </w:r>
          </w:p>
        </w:tc>
      </w:tr>
      <w:tr>
        <w:trPr>
          <w:trHeight w:hRule="atLeast" w:val="390"/>
        </w:trPr>
        <w:tc>
          <w:tcPr>
            <w:tcW w:type="dxa" w:w="3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3000000">
            <w:pPr>
              <w:pStyle w:val="Style_2"/>
              <w:widowControl w:val="0"/>
              <w:ind/>
              <w:jc w:val="both"/>
            </w:pPr>
            <w:r>
              <w:rPr>
                <w:rFonts w:ascii="XO Thames" w:hAnsi="XO Thames"/>
                <w:sz w:val="23"/>
              </w:rPr>
              <w:t xml:space="preserve">Заключение соглашения о перераспределении земельного участка с физическим или юридическим лицом, в целях </w:t>
            </w:r>
            <w:r>
              <w:rPr>
                <w:rFonts w:ascii="XO Thames" w:hAnsi="XO Thames"/>
              </w:rPr>
              <w:t>перераспределения земель и (или) земельного участка, находящегося  в государственной или муниципальной собственности, и земельного участка, находящегося в частной собственности</w:t>
            </w:r>
          </w:p>
        </w:tc>
        <w:tc>
          <w:tcPr>
            <w:tcW w:type="dxa" w:w="3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4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5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6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7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8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9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A000000">
            <w:pPr>
              <w:widowControl w:val="0"/>
              <w:ind/>
              <w:jc w:val="center"/>
            </w:pPr>
          </w:p>
          <w:p w14:paraId="8B000000">
            <w:pPr>
              <w:widowControl w:val="0"/>
              <w:ind/>
              <w:jc w:val="center"/>
            </w:pPr>
          </w:p>
          <w:p w14:paraId="8C000000">
            <w:pPr>
              <w:widowControl w:val="0"/>
              <w:ind/>
              <w:jc w:val="center"/>
              <w:rPr>
                <w:sz w:val="24"/>
              </w:rPr>
            </w:pPr>
          </w:p>
          <w:p w14:paraId="8D000000">
            <w:pPr>
              <w:widowControl w:val="0"/>
              <w:ind/>
              <w:jc w:val="center"/>
              <w:rPr>
                <w:sz w:val="24"/>
              </w:rPr>
            </w:pPr>
          </w:p>
          <w:p w14:paraId="8E000000">
            <w:pPr>
              <w:widowControl w:val="0"/>
              <w:ind/>
              <w:jc w:val="center"/>
              <w:rPr>
                <w:sz w:val="24"/>
              </w:rPr>
            </w:pPr>
          </w:p>
          <w:p w14:paraId="8F000000">
            <w:pPr>
              <w:widowControl w:val="0"/>
              <w:ind/>
              <w:jc w:val="center"/>
            </w:pPr>
            <w:r>
              <w:rPr>
                <w:sz w:val="24"/>
              </w:rPr>
              <w:t>Отсутствуют</w:t>
            </w:r>
          </w:p>
        </w:tc>
      </w:tr>
    </w:tbl>
    <w:p w14:paraId="90000000">
      <w:pPr>
        <w:pStyle w:val="Style_2"/>
        <w:widowControl w:val="0"/>
        <w:ind w:firstLine="709"/>
        <w:jc w:val="both"/>
      </w:pPr>
    </w:p>
    <w:p w14:paraId="91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6.4.</w:t>
      </w:r>
      <w:r>
        <w:rPr>
          <w:rFonts w:ascii="Times New Roman" w:hAnsi="Times New Roman"/>
          <w:sz w:val="28"/>
        </w:rPr>
        <w:t xml:space="preserve"> Другие сведения о дополнительных расходах бюджета муниципального образования Ленинградский муниципальный округ, возникающих в связи с введением предлагаемого правового регулирования: отсутствуют. </w:t>
      </w:r>
    </w:p>
    <w:p w14:paraId="92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6.5. Источники данных: отсутствуют.</w:t>
      </w:r>
    </w:p>
    <w:p w14:paraId="93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7.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Изменение обязанностей (ограничений) потенциальных адресатов предлагаемого правового регулирования и связанные с ними дополнительные </w:t>
      </w:r>
      <w:r>
        <w:rPr>
          <w:rFonts w:ascii="Times New Roman" w:hAnsi="Times New Roman"/>
          <w:color w:themeColor="text1" w:val="000000"/>
          <w:sz w:val="28"/>
        </w:rPr>
        <w:t>расходы (доходы):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2983"/>
        <w:gridCol w:w="3498"/>
        <w:gridCol w:w="1935"/>
        <w:gridCol w:w="1513"/>
      </w:tblGrid>
      <w:tr>
        <w:tc>
          <w:tcPr>
            <w:tcW w:type="dxa" w:w="2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7.1.Группы потенциальных адресатов предлагаемого правового регулирования</w:t>
            </w:r>
          </w:p>
        </w:tc>
        <w:tc>
          <w:tcPr>
            <w:tcW w:type="dxa" w:w="3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75"/>
              <w:bottom w:type="dxa" w:w="55"/>
              <w:right w:type="dxa" w:w="75"/>
            </w:tcMar>
          </w:tcPr>
          <w:p w14:paraId="9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7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млн. рублей</w:t>
            </w:r>
          </w:p>
        </w:tc>
      </w:tr>
      <w:tr>
        <w:trPr>
          <w:trHeight w:hRule="atLeast" w:val="431"/>
        </w:trPr>
        <w:tc>
          <w:tcPr>
            <w:tcW w:type="dxa" w:w="2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8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Граждане и физические лица – собственники земельных участков, заинтересованные в </w:t>
            </w:r>
            <w:r>
              <w:rPr>
                <w:rFonts w:ascii="Times New Roman" w:hAnsi="Times New Roman"/>
                <w:sz w:val="24"/>
              </w:rPr>
              <w:t>предоставлении муниципальной услуги</w:t>
            </w:r>
          </w:p>
        </w:tc>
        <w:tc>
          <w:tcPr>
            <w:tcW w:type="dxa" w:w="3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9000000">
            <w:pPr>
              <w:widowControl w:val="0"/>
              <w:tabs>
                <w:tab w:leader="none" w:pos="675" w:val="left"/>
              </w:tabs>
              <w:ind/>
              <w:jc w:val="both"/>
              <w:rPr>
                <w:sz w:val="22"/>
              </w:rPr>
            </w:pPr>
            <w:r>
              <w:rPr>
                <w:rFonts w:ascii="PT Astra Serif" w:hAnsi="PT Astra Serif"/>
                <w:sz w:val="22"/>
              </w:rPr>
              <w:t>Представление документов, необходимых в соответствии с законодательными и иными нормативными правовыми актами для предоставления муниципальной услуги, (приложение 3 к Регламенту), с учетом идентификаторов категорий (признаков) заявителей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A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1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B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9C000000">
      <w:pPr>
        <w:pStyle w:val="Style_2"/>
        <w:widowControl w:val="0"/>
        <w:ind w:firstLine="709"/>
        <w:jc w:val="both"/>
      </w:pPr>
    </w:p>
    <w:p w14:paraId="9D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7.5. Издержки и выгоды адресатов предлагаемого правового регулирования, не поддающиеся количественной оценке: отсутствуют.</w:t>
      </w:r>
    </w:p>
    <w:p w14:paraId="9E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7.6. Источники данных: отсутствуют.</w:t>
      </w:r>
    </w:p>
    <w:p w14:paraId="9F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8.</w:t>
      </w:r>
      <w:r>
        <w:rPr>
          <w:rFonts w:ascii="Times New Roman" w:hAnsi="Times New Roman"/>
          <w:color w:val="FF3838"/>
          <w:sz w:val="28"/>
        </w:rPr>
        <w:t xml:space="preserve"> </w:t>
      </w:r>
      <w:r>
        <w:rPr>
          <w:rFonts w:ascii="Times New Roman" w:hAnsi="Times New Roman"/>
          <w:sz w:val="28"/>
        </w:rPr>
        <w:t>Оценка рисков неблагоприятных последствий применения предлагаемого правового регулирования: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1918"/>
        <w:gridCol w:w="2410"/>
        <w:gridCol w:w="2410"/>
        <w:gridCol w:w="2976"/>
      </w:tblGrid>
      <w:tr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0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1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8.2. Оценка вероятности наступления </w:t>
            </w:r>
            <w:r>
              <w:rPr>
                <w:rFonts w:ascii="Times New Roman" w:hAnsi="Times New Roman"/>
                <w:sz w:val="24"/>
              </w:rPr>
              <w:t>неблагоприятных последствий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2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3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8.4. Степень контроля  рисков (полный /           частичный / отсутствует)</w:t>
            </w:r>
          </w:p>
        </w:tc>
      </w:tr>
      <w:tr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7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A8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8.5. Источники данных: отсутствуют.</w:t>
      </w:r>
    </w:p>
    <w:p w14:paraId="A9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9.</w:t>
      </w:r>
      <w:r>
        <w:rPr>
          <w:rFonts w:ascii="Times New Roman" w:hAnsi="Times New Roman"/>
          <w:sz w:val="28"/>
        </w:rPr>
        <w:t xml:space="preserve"> Сравнение возможных вариантов решения проблемы: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3194"/>
        <w:gridCol w:w="3544"/>
        <w:gridCol w:w="3046"/>
      </w:tblGrid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A000000">
            <w:pPr>
              <w:pStyle w:val="Style_2"/>
              <w:widowControl w:val="0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AB000000">
            <w:pPr>
              <w:pStyle w:val="Style_2"/>
              <w:widowControl w:val="0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C000000">
            <w:pPr>
              <w:pStyle w:val="Style_2"/>
              <w:widowControl w:val="0"/>
              <w:ind w:firstLine="709"/>
              <w:jc w:val="center"/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D000000">
            <w:pPr>
              <w:pStyle w:val="Style_2"/>
              <w:widowControl w:val="0"/>
              <w:ind w:firstLine="709"/>
              <w:jc w:val="center"/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AF000000">
            <w:pPr>
              <w:pStyle w:val="Style_2"/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Утверждение административно</w:t>
            </w:r>
            <w:r>
              <w:rPr>
                <w:rFonts w:ascii="Times New Roman" w:hAnsi="Times New Roman"/>
                <w:color w:val="000000"/>
                <w:sz w:val="24"/>
              </w:rPr>
              <w:t>го регламента по предоставлению муниципальной услуги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0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 xml:space="preserve"> 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1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Не утверждение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2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       (1 – 3 года)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3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Численность</w:t>
            </w:r>
          </w:p>
          <w:p w14:paraId="B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потенциальных адресатов предлагаемого правового регулирования определить не предоставляется</w:t>
            </w:r>
          </w:p>
          <w:p w14:paraId="B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возможным</w:t>
            </w:r>
          </w:p>
          <w:p w14:paraId="B6000000">
            <w:pPr>
              <w:widowControl w:val="0"/>
              <w:ind/>
              <w:jc w:val="center"/>
              <w:rPr>
                <w:sz w:val="24"/>
              </w:rPr>
            </w:pP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7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  <w:p w14:paraId="B8000000">
            <w:pPr>
              <w:widowControl w:val="0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9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A000000">
            <w:pPr>
              <w:pStyle w:val="Style_8"/>
              <w:widowControl w:val="1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Расходы не предусматриваются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B000000">
            <w:pPr>
              <w:pStyle w:val="Style_8"/>
              <w:widowControl w:val="1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C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9.4. Оценка расходов (доходов) местного бюджета, связанных с введением предлагаемого правового </w:t>
            </w:r>
            <w:r>
              <w:rPr>
                <w:rFonts w:ascii="Times New Roman" w:hAnsi="Times New Roman"/>
                <w:sz w:val="24"/>
              </w:rPr>
              <w:t>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D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E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F000000">
            <w:pPr>
              <w:pStyle w:val="Style_11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0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1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2000000">
            <w:pPr>
              <w:pStyle w:val="Style_11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3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9.5. Оценка возможности достижения заявленных целей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4000000">
            <w:pPr>
              <w:pStyle w:val="Style_8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5000000">
            <w:pPr>
              <w:pStyle w:val="Style_8"/>
              <w:widowControl w:val="1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Цель будет достигнута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6000000">
            <w:pPr>
              <w:pStyle w:val="Style_8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7000000">
            <w:pPr>
              <w:pStyle w:val="Style_8"/>
              <w:widowControl w:val="1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Цель не будет достигнута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8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9.6. Оценка рисков неблагоприятных последствий</w:t>
            </w:r>
          </w:p>
          <w:p w14:paraId="C9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A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B000000">
            <w:pPr>
              <w:pStyle w:val="Style_8"/>
              <w:widowControl w:val="1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C000000">
            <w:pPr>
              <w:widowControl w:val="0"/>
              <w:ind/>
              <w:jc w:val="center"/>
            </w:pPr>
            <w:r>
              <w:rPr>
                <w:sz w:val="24"/>
              </w:rPr>
              <w:t>Отсутствует</w:t>
            </w:r>
          </w:p>
        </w:tc>
      </w:tr>
    </w:tbl>
    <w:p w14:paraId="CD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9.7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sz w:val="28"/>
        </w:rPr>
        <w:t xml:space="preserve">Обоснование  выбора  предпочтительного  варианта  решения выявленной проблемы, в том числе обоснование соразмерности затрат на исполнение обязательных требований, лицами, в отношении которых они устанавливаются, с рисками, предотвращаемыми этими обязательными требованиями, при обычных условиях гражданского оборота: 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color w:val="000000"/>
          <w:sz w:val="28"/>
        </w:rPr>
        <w:t xml:space="preserve">направленного на исполнение требований действующего законодательства (вариант 1). </w:t>
      </w:r>
    </w:p>
    <w:p w14:paraId="CE000000">
      <w:pPr>
        <w:pStyle w:val="Style_2"/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1C1C1C"/>
          <w:sz w:val="28"/>
        </w:rPr>
        <w:t xml:space="preserve">9.8. Детальное описание предлагаемого варианта решения проблемы: </w:t>
      </w:r>
    </w:p>
    <w:p w14:paraId="CF000000">
      <w:pPr>
        <w:pStyle w:val="Style_2"/>
        <w:widowControl w:val="0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color w:val="1C1C1C"/>
          <w:sz w:val="28"/>
        </w:rPr>
        <w:t xml:space="preserve">проект </w:t>
      </w:r>
      <w:r>
        <w:rPr>
          <w:rFonts w:ascii="Times New Roman" w:hAnsi="Times New Roman"/>
          <w:color w:val="1C1C1C"/>
          <w:sz w:val="28"/>
        </w:rPr>
        <w:t>разработан во исполнение</w:t>
      </w:r>
      <w:r>
        <w:t xml:space="preserve">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Федерального зако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на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 xml:space="preserve">»,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>
        <w:rPr>
          <w:rFonts w:ascii="XO Thames" w:hAnsi="XO Thames"/>
          <w:color w:val="000000"/>
          <w:sz w:val="28"/>
        </w:rPr>
        <w:t>, Земельного кодекса Российской Федерации.</w:t>
      </w:r>
    </w:p>
    <w:p w14:paraId="D0000000">
      <w:pPr>
        <w:pStyle w:val="Style_2"/>
        <w:widowControl w:val="0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10.</w:t>
      </w:r>
      <w:r>
        <w:rPr>
          <w:rFonts w:ascii="Times New Roman" w:hAnsi="Times New Roman"/>
          <w:color w:val="FF3838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14:paraId="D1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10.1. Предполагаемая дата вступления в силу муниципального нормативного правового акта: сентябрь</w:t>
      </w:r>
      <w:r>
        <w:rPr>
          <w:rFonts w:ascii="Times New Roman" w:hAnsi="Times New Roman"/>
          <w:sz w:val="28"/>
        </w:rPr>
        <w:t xml:space="preserve"> 2026 года, со дня официального опубликования.</w:t>
      </w:r>
      <w:r>
        <w:rPr>
          <w:rFonts w:ascii="Times New Roman" w:hAnsi="Times New Roman"/>
          <w:sz w:val="28"/>
        </w:rPr>
        <w:t>                                         </w:t>
      </w:r>
    </w:p>
    <w:p w14:paraId="D2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 Необходимость установления переходного периода и (или) отсрочки введения предлагаемого правового регулирования: нет.</w:t>
      </w:r>
    </w:p>
    <w:p w14:paraId="D3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10.2.1. Срок переходного периода: нет.</w:t>
      </w:r>
    </w:p>
    <w:p w14:paraId="D4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10.2.2. Отсрочка введения предлагаемого правового регулирования: нет.</w:t>
      </w:r>
    </w:p>
    <w:p w14:paraId="D5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10.2.3. Срок действия правового регулирования: не ограничен, с даты вступления в силу муниципального нормативного правового акта.</w:t>
      </w:r>
    </w:p>
    <w:p w14:paraId="D6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10.3. Необходимость распространения предлагаемого правового регулирования на ранее возникшие отношения: нет.</w:t>
      </w:r>
    </w:p>
    <w:p w14:paraId="D7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10.3.1. Период распространения на ранее возникшие отношения: нет.</w:t>
      </w:r>
    </w:p>
    <w:p w14:paraId="D8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  <w:r>
        <w:rPr>
          <w:rFonts w:ascii="Times New Roman" w:hAnsi="Times New Roman"/>
          <w:sz w:val="28"/>
        </w:rPr>
        <w:t>  </w:t>
      </w:r>
    </w:p>
    <w:p w14:paraId="D9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DA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DB000000">
      <w:pPr>
        <w:widowControl w:val="1"/>
        <w:ind/>
        <w:jc w:val="both"/>
      </w:pPr>
      <w:r>
        <w:t>Заместитель главы</w:t>
      </w:r>
    </w:p>
    <w:p w14:paraId="DC000000">
      <w:pPr>
        <w:widowControl w:val="1"/>
        <w:ind/>
        <w:jc w:val="both"/>
      </w:pPr>
      <w:r>
        <w:t xml:space="preserve">Ленинградского муниципального </w:t>
      </w:r>
    </w:p>
    <w:p w14:paraId="DD000000">
      <w:pPr>
        <w:widowControl w:val="1"/>
        <w:ind/>
        <w:jc w:val="both"/>
      </w:pPr>
      <w:r>
        <w:t>округа, начальник отдела</w:t>
      </w:r>
    </w:p>
    <w:p w14:paraId="DE000000">
      <w:pPr>
        <w:widowControl w:val="1"/>
        <w:ind/>
        <w:jc w:val="both"/>
      </w:pPr>
      <w:r>
        <w:t>имущественных отношений</w:t>
      </w:r>
    </w:p>
    <w:p w14:paraId="DF000000">
      <w:pPr>
        <w:widowControl w:val="1"/>
        <w:ind/>
        <w:jc w:val="both"/>
      </w:pPr>
      <w:r>
        <w:t xml:space="preserve">администрации                                                                                        Р.Г. Тоцкая </w:t>
      </w:r>
    </w:p>
    <w:p w14:paraId="E0000000">
      <w:pPr>
        <w:pStyle w:val="Style_2"/>
        <w:widowControl w:val="0"/>
        <w:ind/>
        <w:jc w:val="both"/>
      </w:pPr>
    </w:p>
    <w:sectPr>
      <w:headerReference r:id="rId1" w:type="default"/>
      <w:headerReference r:id="rId3" w:type="first"/>
      <w:headerReference r:id="rId2" w:type="even"/>
      <w:pgSz w:h="16838" w:orient="portrait" w:w="11906"/>
      <w:pgMar w:bottom="1134" w:footer="0" w:gutter="0" w:header="1134" w:left="1701" w:right="567" w:top="119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8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rPr>
      <w:rFonts w:ascii="Times New Roman" w:hAnsi="Times New Roman"/>
      <w:sz w:val="28"/>
    </w:rPr>
  </w:style>
  <w:style w:default="1" w:styleId="Style_12_ch" w:type="character">
    <w:name w:val="Normal"/>
    <w:link w:val="Style_12"/>
    <w:rPr>
      <w:rFonts w:ascii="Times New Roman" w:hAnsi="Times New Roman"/>
      <w:sz w:val="28"/>
    </w:rPr>
  </w:style>
  <w:style w:styleId="Style_4" w:type="paragraph">
    <w:name w:val="Заголовок 21"/>
    <w:basedOn w:val="Style_12"/>
    <w:next w:val="Style_12"/>
    <w:link w:val="Style_4_ch"/>
    <w:pPr>
      <w:keepNext w:val="1"/>
      <w:widowControl w:val="1"/>
      <w:ind/>
      <w:jc w:val="center"/>
      <w:outlineLvl w:val="1"/>
    </w:pPr>
  </w:style>
  <w:style w:styleId="Style_4_ch" w:type="character">
    <w:name w:val="Заголовок 21"/>
    <w:basedOn w:val="Style_12_ch"/>
    <w:link w:val="Style_4"/>
  </w:style>
  <w:style w:styleId="Style_13" w:type="paragraph">
    <w:name w:val="toc 2"/>
    <w:basedOn w:val="Style_12"/>
    <w:next w:val="Style_12"/>
    <w:link w:val="Style_13_ch"/>
    <w:uiPriority w:val="39"/>
    <w:pPr>
      <w:widowControl w:val="1"/>
      <w:spacing w:after="57"/>
      <w:ind w:left="283"/>
    </w:pPr>
  </w:style>
  <w:style w:styleId="Style_13_ch" w:type="character">
    <w:name w:val="toc 2"/>
    <w:basedOn w:val="Style_12_ch"/>
    <w:link w:val="Style_13"/>
  </w:style>
  <w:style w:styleId="Style_14" w:type="paragraph">
    <w:name w:val="Заголовок 41"/>
    <w:basedOn w:val="Style_12"/>
    <w:next w:val="Style_12"/>
    <w:link w:val="Style_14_ch"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14_ch" w:type="character">
    <w:name w:val="Заголовок 41"/>
    <w:basedOn w:val="Style_12_ch"/>
    <w:link w:val="Style_14"/>
    <w:rPr>
      <w:rFonts w:ascii="Arial" w:hAnsi="Arial"/>
      <w:b w:val="1"/>
      <w:sz w:val="26"/>
    </w:rPr>
  </w:style>
  <w:style w:styleId="Style_15" w:type="paragraph">
    <w:name w:val="toc 4"/>
    <w:basedOn w:val="Style_12"/>
    <w:next w:val="Style_12"/>
    <w:link w:val="Style_15_ch"/>
    <w:uiPriority w:val="39"/>
    <w:pPr>
      <w:widowControl w:val="1"/>
      <w:spacing w:after="57"/>
      <w:ind w:left="850"/>
    </w:pPr>
  </w:style>
  <w:style w:styleId="Style_15_ch" w:type="character">
    <w:name w:val="toc 4"/>
    <w:basedOn w:val="Style_12_ch"/>
    <w:link w:val="Style_15"/>
  </w:style>
  <w:style w:styleId="Style_16" w:type="paragraph">
    <w:name w:val="toc 6"/>
    <w:basedOn w:val="Style_12"/>
    <w:next w:val="Style_12"/>
    <w:link w:val="Style_16_ch"/>
    <w:uiPriority w:val="39"/>
    <w:pPr>
      <w:widowControl w:val="1"/>
      <w:spacing w:after="57"/>
      <w:ind w:left="1417"/>
    </w:pPr>
  </w:style>
  <w:style w:styleId="Style_16_ch" w:type="character">
    <w:name w:val="toc 6"/>
    <w:basedOn w:val="Style_12_ch"/>
    <w:link w:val="Style_16"/>
  </w:style>
  <w:style w:styleId="Style_10" w:type="paragraph">
    <w:name w:val="Основной текст + 10;5 pt"/>
    <w:link w:val="Style_10_ch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10_ch" w:type="character">
    <w:name w:val="Основной текст + 10;5 pt"/>
    <w:link w:val="Style_10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17" w:type="paragraph">
    <w:name w:val="toc 7"/>
    <w:basedOn w:val="Style_12"/>
    <w:next w:val="Style_12"/>
    <w:link w:val="Style_17_ch"/>
    <w:uiPriority w:val="39"/>
    <w:pPr>
      <w:widowControl w:val="1"/>
      <w:spacing w:after="57"/>
      <w:ind w:left="1701"/>
    </w:pPr>
  </w:style>
  <w:style w:styleId="Style_17_ch" w:type="character">
    <w:name w:val="toc 7"/>
    <w:basedOn w:val="Style_12_ch"/>
    <w:link w:val="Style_17"/>
  </w:style>
  <w:style w:styleId="Style_18" w:type="paragraph">
    <w:name w:val="Название объекта1"/>
    <w:basedOn w:val="Style_12"/>
    <w:next w:val="Style_12"/>
    <w:link w:val="Style_18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8_ch" w:type="character">
    <w:name w:val="Название объекта1"/>
    <w:basedOn w:val="Style_12_ch"/>
    <w:link w:val="Style_18"/>
    <w:rPr>
      <w:b w:val="1"/>
      <w:color w:themeColor="accent1" w:val="4F81BD"/>
      <w:sz w:val="18"/>
    </w:rPr>
  </w:style>
  <w:style w:styleId="Style_19" w:type="paragraph">
    <w:name w:val="footnote reference"/>
    <w:link w:val="Style_19_ch"/>
    <w:rPr>
      <w:vertAlign w:val="superscript"/>
    </w:rPr>
  </w:style>
  <w:style w:styleId="Style_19_ch" w:type="character">
    <w:name w:val="footnote reference"/>
    <w:link w:val="Style_19"/>
    <w:rPr>
      <w:vertAlign w:val="superscript"/>
    </w:rPr>
  </w:style>
  <w:style w:styleId="Style_20" w:type="paragraph">
    <w:name w:val="Символ концевой сноски"/>
    <w:link w:val="Style_20_ch"/>
    <w:rPr>
      <w:vertAlign w:val="superscript"/>
    </w:rPr>
  </w:style>
  <w:style w:styleId="Style_20_ch" w:type="character">
    <w:name w:val="Символ концевой сноски"/>
    <w:link w:val="Style_20"/>
    <w:rPr>
      <w:vertAlign w:val="superscript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21" w:type="paragraph">
    <w:name w:val="Endnote"/>
    <w:basedOn w:val="Style_12"/>
    <w:link w:val="Style_21_ch"/>
    <w:rPr>
      <w:sz w:val="20"/>
    </w:rPr>
  </w:style>
  <w:style w:styleId="Style_21_ch" w:type="character">
    <w:name w:val="Endnote"/>
    <w:basedOn w:val="Style_12_ch"/>
    <w:link w:val="Style_21"/>
    <w:rPr>
      <w:sz w:val="20"/>
    </w:rPr>
  </w:style>
  <w:style w:styleId="Style_22" w:type="paragraph">
    <w:name w:val="heading 3"/>
    <w:next w:val="Style_12"/>
    <w:link w:val="Style_2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23" w:type="paragraph">
    <w:name w:val="Subtitle Char"/>
    <w:basedOn w:val="Style_24"/>
    <w:link w:val="Style_23_ch"/>
    <w:rPr>
      <w:sz w:val="24"/>
    </w:rPr>
  </w:style>
  <w:style w:styleId="Style_23_ch" w:type="character">
    <w:name w:val="Subtitle Char"/>
    <w:basedOn w:val="Style_24_ch"/>
    <w:link w:val="Style_23"/>
    <w:rPr>
      <w:sz w:val="24"/>
    </w:rPr>
  </w:style>
  <w:style w:styleId="Style_25" w:type="paragraph">
    <w:name w:val="dropdown-user-name"/>
    <w:basedOn w:val="Style_24"/>
    <w:link w:val="Style_25_ch"/>
  </w:style>
  <w:style w:styleId="Style_25_ch" w:type="character">
    <w:name w:val="dropdown-user-name"/>
    <w:basedOn w:val="Style_24_ch"/>
    <w:link w:val="Style_25"/>
  </w:style>
  <w:style w:styleId="Style_26" w:type="paragraph">
    <w:name w:val="List"/>
    <w:basedOn w:val="Style_27"/>
    <w:link w:val="Style_26_ch"/>
  </w:style>
  <w:style w:styleId="Style_26_ch" w:type="character">
    <w:name w:val="List"/>
    <w:basedOn w:val="Style_27_ch"/>
    <w:link w:val="Style_26"/>
  </w:style>
  <w:style w:styleId="Style_9" w:type="paragraph">
    <w:name w:val="Нормальный (таблица)"/>
    <w:link w:val="Style_9_ch"/>
    <w:pPr>
      <w:widowControl w:val="0"/>
      <w:ind/>
      <w:jc w:val="both"/>
    </w:pPr>
    <w:rPr>
      <w:rFonts w:ascii="Arial" w:hAnsi="Arial"/>
      <w:sz w:val="24"/>
    </w:rPr>
  </w:style>
  <w:style w:styleId="Style_9_ch" w:type="character">
    <w:name w:val="Нормальный (таблица)"/>
    <w:link w:val="Style_9"/>
    <w:rPr>
      <w:rFonts w:ascii="Arial" w:hAnsi="Arial"/>
      <w:sz w:val="24"/>
    </w:rPr>
  </w:style>
  <w:style w:styleId="Style_28" w:type="paragraph">
    <w:name w:val="Footer Char"/>
    <w:basedOn w:val="Style_24"/>
    <w:link w:val="Style_28_ch"/>
  </w:style>
  <w:style w:styleId="Style_28_ch" w:type="character">
    <w:name w:val="Footer Char"/>
    <w:basedOn w:val="Style_24_ch"/>
    <w:link w:val="Style_28"/>
  </w:style>
  <w:style w:styleId="Style_29" w:type="paragraph">
    <w:name w:val="Strong"/>
    <w:basedOn w:val="Style_24"/>
    <w:link w:val="Style_29_ch"/>
    <w:rPr>
      <w:b w:val="1"/>
    </w:rPr>
  </w:style>
  <w:style w:styleId="Style_29_ch" w:type="character">
    <w:name w:val="Strong"/>
    <w:basedOn w:val="Style_24_ch"/>
    <w:link w:val="Style_29"/>
    <w:rPr>
      <w:b w:val="1"/>
    </w:rPr>
  </w:style>
  <w:style w:styleId="Style_30" w:type="paragraph">
    <w:name w:val="Заголовок 91"/>
    <w:basedOn w:val="Style_12"/>
    <w:next w:val="Style_12"/>
    <w:link w:val="Style_30_ch"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0_ch" w:type="character">
    <w:name w:val="Заголовок 91"/>
    <w:basedOn w:val="Style_12_ch"/>
    <w:link w:val="Style_30"/>
    <w:rPr>
      <w:rFonts w:ascii="Arial" w:hAnsi="Arial"/>
      <w:i w:val="1"/>
      <w:sz w:val="21"/>
    </w:rPr>
  </w:style>
  <w:style w:styleId="Style_27" w:type="paragraph">
    <w:name w:val="Body Text"/>
    <w:basedOn w:val="Style_12"/>
    <w:link w:val="Style_27_ch"/>
    <w:pPr>
      <w:widowControl w:val="1"/>
      <w:spacing w:after="120"/>
      <w:ind/>
    </w:pPr>
  </w:style>
  <w:style w:styleId="Style_27_ch" w:type="character">
    <w:name w:val="Body Text"/>
    <w:basedOn w:val="Style_12_ch"/>
    <w:link w:val="Style_27"/>
  </w:style>
  <w:style w:styleId="Style_31" w:type="paragraph">
    <w:name w:val="Caption Char"/>
    <w:link w:val="Style_31_ch"/>
  </w:style>
  <w:style w:styleId="Style_31_ch" w:type="character">
    <w:name w:val="Caption Char"/>
    <w:link w:val="Style_31"/>
  </w:style>
  <w:style w:styleId="Style_32" w:type="paragraph">
    <w:name w:val="Body Text Indent"/>
    <w:basedOn w:val="Style_12"/>
    <w:link w:val="Style_32_ch"/>
    <w:pPr>
      <w:widowControl w:val="1"/>
      <w:ind w:firstLine="708"/>
      <w:jc w:val="both"/>
    </w:pPr>
    <w:rPr>
      <w:sz w:val="24"/>
    </w:rPr>
  </w:style>
  <w:style w:styleId="Style_32_ch" w:type="character">
    <w:name w:val="Body Text Indent"/>
    <w:basedOn w:val="Style_12_ch"/>
    <w:link w:val="Style_32"/>
    <w:rPr>
      <w:sz w:val="24"/>
    </w:rPr>
  </w:style>
  <w:style w:styleId="Style_33" w:type="paragraph">
    <w:name w:val="dropdown-user-name__first-letter"/>
    <w:basedOn w:val="Style_24"/>
    <w:link w:val="Style_33_ch"/>
  </w:style>
  <w:style w:styleId="Style_33_ch" w:type="character">
    <w:name w:val="dropdown-user-name__first-letter"/>
    <w:basedOn w:val="Style_24_ch"/>
    <w:link w:val="Style_33"/>
  </w:style>
  <w:style w:styleId="Style_34" w:type="paragraph">
    <w:name w:val="WW-Absatz-Standardschriftart11"/>
    <w:link w:val="Style_34_ch"/>
  </w:style>
  <w:style w:styleId="Style_34_ch" w:type="character">
    <w:name w:val="WW-Absatz-Standardschriftart11"/>
    <w:link w:val="Style_34"/>
  </w:style>
  <w:style w:styleId="Style_35" w:type="paragraph">
    <w:name w:val="toc 3"/>
    <w:basedOn w:val="Style_12"/>
    <w:next w:val="Style_12"/>
    <w:link w:val="Style_35_ch"/>
    <w:uiPriority w:val="39"/>
    <w:pPr>
      <w:widowControl w:val="1"/>
      <w:spacing w:after="57"/>
      <w:ind w:left="567"/>
    </w:pPr>
  </w:style>
  <w:style w:styleId="Style_35_ch" w:type="character">
    <w:name w:val="toc 3"/>
    <w:basedOn w:val="Style_12_ch"/>
    <w:link w:val="Style_35"/>
  </w:style>
  <w:style w:styleId="Style_7" w:type="paragraph">
    <w:name w:val="Прижатый влево"/>
    <w:link w:val="Style_7_ch"/>
    <w:pPr>
      <w:widowControl w:val="0"/>
      <w:ind/>
    </w:pPr>
    <w:rPr>
      <w:rFonts w:ascii="Arial" w:hAnsi="Arial"/>
      <w:sz w:val="24"/>
    </w:rPr>
  </w:style>
  <w:style w:styleId="Style_7_ch" w:type="character">
    <w:name w:val="Прижатый влево"/>
    <w:link w:val="Style_7"/>
    <w:rPr>
      <w:rFonts w:ascii="Arial" w:hAnsi="Arial"/>
      <w:sz w:val="24"/>
    </w:rPr>
  </w:style>
  <w:style w:styleId="Style_36" w:type="paragraph">
    <w:name w:val="Колонтитул"/>
    <w:basedOn w:val="Style_12"/>
    <w:link w:val="Style_36_ch"/>
  </w:style>
  <w:style w:styleId="Style_36_ch" w:type="character">
    <w:name w:val="Колонтитул"/>
    <w:basedOn w:val="Style_12_ch"/>
    <w:link w:val="Style_36"/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37" w:type="paragraph">
    <w:name w:val="table of figures"/>
    <w:basedOn w:val="Style_12"/>
    <w:next w:val="Style_12"/>
    <w:link w:val="Style_37_ch"/>
  </w:style>
  <w:style w:styleId="Style_37_ch" w:type="character">
    <w:name w:val="table of figures"/>
    <w:basedOn w:val="Style_12_ch"/>
    <w:link w:val="Style_37"/>
  </w:style>
  <w:style w:styleId="Style_38" w:type="paragraph">
    <w:name w:val="Заголовок 11"/>
    <w:basedOn w:val="Style_12"/>
    <w:next w:val="Style_12"/>
    <w:link w:val="Style_38_ch"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38_ch" w:type="character">
    <w:name w:val="Заголовок 11"/>
    <w:basedOn w:val="Style_12_ch"/>
    <w:link w:val="Style_38"/>
    <w:rPr>
      <w:rFonts w:ascii="Arial" w:hAnsi="Arial"/>
      <w:sz w:val="40"/>
    </w:rPr>
  </w:style>
  <w:style w:styleId="Style_39" w:type="paragraph">
    <w:name w:val="heading 5"/>
    <w:next w:val="Style_12"/>
    <w:link w:val="Style_3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List Paragraph"/>
    <w:basedOn w:val="Style_12"/>
    <w:link w:val="Style_40_ch"/>
    <w:pPr>
      <w:widowControl w:val="1"/>
      <w:ind w:left="720"/>
      <w:contextualSpacing w:val="1"/>
    </w:pPr>
  </w:style>
  <w:style w:styleId="Style_40_ch" w:type="character">
    <w:name w:val="List Paragraph"/>
    <w:basedOn w:val="Style_12_ch"/>
    <w:link w:val="Style_40"/>
  </w:style>
  <w:style w:styleId="Style_41" w:type="paragraph">
    <w:name w:val="heading 1"/>
    <w:next w:val="Style_12"/>
    <w:link w:val="Style_4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1_ch" w:type="character">
    <w:name w:val="heading 1"/>
    <w:link w:val="Style_41"/>
    <w:rPr>
      <w:rFonts w:ascii="XO Thames" w:hAnsi="XO Thames"/>
      <w:b w:val="1"/>
      <w:sz w:val="32"/>
    </w:rPr>
  </w:style>
  <w:style w:styleId="Style_42" w:type="paragraph">
    <w:name w:val="Заголовок 81"/>
    <w:basedOn w:val="Style_12"/>
    <w:next w:val="Style_12"/>
    <w:link w:val="Style_42_ch"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42_ch" w:type="character">
    <w:name w:val="Заголовок 81"/>
    <w:basedOn w:val="Style_12_ch"/>
    <w:link w:val="Style_42"/>
    <w:rPr>
      <w:rFonts w:ascii="Arial" w:hAnsi="Arial"/>
      <w:i w:val="1"/>
      <w:sz w:val="22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43" w:type="paragraph">
    <w:name w:val="Footnote"/>
    <w:basedOn w:val="Style_12"/>
    <w:link w:val="Style_43_ch"/>
    <w:pPr>
      <w:widowControl w:val="1"/>
      <w:spacing w:after="40"/>
      <w:ind/>
    </w:pPr>
    <w:rPr>
      <w:sz w:val="18"/>
    </w:rPr>
  </w:style>
  <w:style w:styleId="Style_43_ch" w:type="character">
    <w:name w:val="Footnote"/>
    <w:basedOn w:val="Style_12_ch"/>
    <w:link w:val="Style_43"/>
    <w:rPr>
      <w:sz w:val="18"/>
    </w:rPr>
  </w:style>
  <w:style w:styleId="Style_44" w:type="paragraph">
    <w:name w:val="toc 1"/>
    <w:basedOn w:val="Style_12"/>
    <w:next w:val="Style_12"/>
    <w:link w:val="Style_44_ch"/>
    <w:uiPriority w:val="39"/>
    <w:pPr>
      <w:widowControl w:val="1"/>
      <w:spacing w:after="57"/>
      <w:ind/>
    </w:pPr>
  </w:style>
  <w:style w:styleId="Style_44_ch" w:type="character">
    <w:name w:val="toc 1"/>
    <w:basedOn w:val="Style_12_ch"/>
    <w:link w:val="Style_44"/>
  </w:style>
  <w:style w:styleId="Style_45" w:type="paragraph">
    <w:name w:val="endnote reference"/>
    <w:link w:val="Style_45_ch"/>
    <w:rPr>
      <w:vertAlign w:val="superscript"/>
    </w:rPr>
  </w:style>
  <w:style w:styleId="Style_45_ch" w:type="character">
    <w:name w:val="endnote reference"/>
    <w:link w:val="Style_45"/>
    <w:rPr>
      <w:vertAlign w:val="superscript"/>
    </w:rPr>
  </w:style>
  <w:style w:styleId="Style_46" w:type="paragraph">
    <w:name w:val="TOC Heading"/>
    <w:link w:val="Style_46_ch"/>
  </w:style>
  <w:style w:styleId="Style_46_ch" w:type="character">
    <w:name w:val="TOC Heading"/>
    <w:link w:val="Style_46"/>
  </w:style>
  <w:style w:styleId="Style_47" w:type="paragraph">
    <w:name w:val="Header and Footer"/>
    <w:link w:val="Style_4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48" w:type="paragraph">
    <w:name w:val="Заголовок 51"/>
    <w:basedOn w:val="Style_12"/>
    <w:next w:val="Style_12"/>
    <w:link w:val="Style_48_ch"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48_ch" w:type="character">
    <w:name w:val="Заголовок 51"/>
    <w:basedOn w:val="Style_12_ch"/>
    <w:link w:val="Style_48"/>
    <w:rPr>
      <w:rFonts w:ascii="Arial" w:hAnsi="Arial"/>
      <w:b w:val="1"/>
      <w:sz w:val="24"/>
    </w:rPr>
  </w:style>
  <w:style w:styleId="Style_49" w:type="paragraph">
    <w:name w:val="toc 9"/>
    <w:basedOn w:val="Style_12"/>
    <w:next w:val="Style_12"/>
    <w:link w:val="Style_49_ch"/>
    <w:uiPriority w:val="39"/>
    <w:pPr>
      <w:widowControl w:val="1"/>
      <w:spacing w:after="57"/>
      <w:ind w:left="2268"/>
    </w:pPr>
  </w:style>
  <w:style w:styleId="Style_49_ch" w:type="character">
    <w:name w:val="toc 9"/>
    <w:basedOn w:val="Style_12_ch"/>
    <w:link w:val="Style_49"/>
  </w:style>
  <w:style w:styleId="Style_11" w:type="paragraph">
    <w:name w:val="Без интервала1"/>
    <w:link w:val="Style_11_ch"/>
    <w:rPr>
      <w:sz w:val="22"/>
    </w:rPr>
  </w:style>
  <w:style w:styleId="Style_11_ch" w:type="character">
    <w:name w:val="Без интервала1"/>
    <w:link w:val="Style_11"/>
    <w:rPr>
      <w:sz w:val="22"/>
    </w:rPr>
  </w:style>
  <w:style w:styleId="Style_50" w:type="paragraph">
    <w:name w:val="Основной текст + Franklin Gothic Medium;9;5 pt"/>
    <w:basedOn w:val="Style_51"/>
    <w:link w:val="Style_50_ch"/>
    <w:rPr>
      <w:rFonts w:ascii="Franklin Gothic Medium" w:hAnsi="Franklin Gothic Medium"/>
      <w:sz w:val="19"/>
      <w:highlight w:val="white"/>
    </w:rPr>
  </w:style>
  <w:style w:styleId="Style_50_ch" w:type="character">
    <w:name w:val="Основной текст + Franklin Gothic Medium;9;5 pt"/>
    <w:basedOn w:val="Style_51_ch"/>
    <w:link w:val="Style_50"/>
    <w:rPr>
      <w:rFonts w:ascii="Franklin Gothic Medium" w:hAnsi="Franklin Gothic Medium"/>
      <w:sz w:val="19"/>
      <w:highlight w:val="white"/>
    </w:rPr>
  </w:style>
  <w:style w:styleId="Style_52" w:type="paragraph">
    <w:name w:val="toc 8"/>
    <w:basedOn w:val="Style_12"/>
    <w:next w:val="Style_12"/>
    <w:link w:val="Style_52_ch"/>
    <w:uiPriority w:val="39"/>
    <w:pPr>
      <w:widowControl w:val="1"/>
      <w:spacing w:after="57"/>
      <w:ind w:left="1984"/>
    </w:pPr>
  </w:style>
  <w:style w:styleId="Style_52_ch" w:type="character">
    <w:name w:val="toc 8"/>
    <w:basedOn w:val="Style_12_ch"/>
    <w:link w:val="Style_52"/>
  </w:style>
  <w:style w:styleId="Style_1" w:type="paragraph">
    <w:name w:val="header"/>
    <w:basedOn w:val="Style_1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2_ch"/>
    <w:link w:val="Style_1"/>
  </w:style>
  <w:style w:styleId="Style_53" w:type="paragraph">
    <w:name w:val="Верхний колонтитул Знак"/>
    <w:basedOn w:val="Style_24"/>
    <w:link w:val="Style_53_ch"/>
  </w:style>
  <w:style w:styleId="Style_53_ch" w:type="character">
    <w:name w:val="Верхний колонтитул Знак"/>
    <w:basedOn w:val="Style_24_ch"/>
    <w:link w:val="Style_53"/>
  </w:style>
  <w:style w:styleId="Style_54" w:type="paragraph">
    <w:name w:val="footer"/>
    <w:basedOn w:val="Style_12"/>
    <w:link w:val="Style_54_ch"/>
    <w:pPr>
      <w:widowControl w:val="1"/>
      <w:tabs>
        <w:tab w:leader="none" w:pos="4677" w:val="center"/>
        <w:tab w:leader="none" w:pos="9355" w:val="right"/>
      </w:tabs>
      <w:ind/>
    </w:pPr>
  </w:style>
  <w:style w:styleId="Style_54_ch" w:type="character">
    <w:name w:val="footer"/>
    <w:basedOn w:val="Style_12_ch"/>
    <w:link w:val="Style_54"/>
  </w:style>
  <w:style w:styleId="Style_8" w:type="paragraph">
    <w:name w:val="ConsPlusNormal"/>
    <w:link w:val="Style_8_ch"/>
    <w:pPr>
      <w:widowControl w:val="0"/>
      <w:ind/>
    </w:pPr>
    <w:rPr>
      <w:sz w:val="22"/>
    </w:rPr>
  </w:style>
  <w:style w:styleId="Style_8_ch" w:type="character">
    <w:name w:val="ConsPlusNormal"/>
    <w:link w:val="Style_8"/>
    <w:rPr>
      <w:sz w:val="22"/>
    </w:rPr>
  </w:style>
  <w:style w:styleId="Style_55" w:type="paragraph">
    <w:name w:val="Heading 2 Char"/>
    <w:basedOn w:val="Style_24"/>
    <w:link w:val="Style_55_ch"/>
    <w:rPr>
      <w:rFonts w:ascii="Arial" w:hAnsi="Arial"/>
      <w:sz w:val="34"/>
    </w:rPr>
  </w:style>
  <w:style w:styleId="Style_55_ch" w:type="character">
    <w:name w:val="Heading 2 Char"/>
    <w:basedOn w:val="Style_24_ch"/>
    <w:link w:val="Style_55"/>
    <w:rPr>
      <w:rFonts w:ascii="Arial" w:hAnsi="Arial"/>
      <w:sz w:val="34"/>
    </w:rPr>
  </w:style>
  <w:style w:styleId="Style_51" w:type="paragraph">
    <w:name w:val="Основной текст1"/>
    <w:basedOn w:val="Style_12"/>
    <w:link w:val="Style_51_ch"/>
    <w:pPr>
      <w:widowControl w:val="1"/>
      <w:spacing w:after="540" w:before="240" w:line="0" w:lineRule="atLeast"/>
      <w:ind/>
    </w:pPr>
    <w:rPr>
      <w:sz w:val="23"/>
    </w:rPr>
  </w:style>
  <w:style w:styleId="Style_51_ch" w:type="character">
    <w:name w:val="Основной текст1"/>
    <w:basedOn w:val="Style_12_ch"/>
    <w:link w:val="Style_51"/>
    <w:rPr>
      <w:sz w:val="23"/>
    </w:rPr>
  </w:style>
  <w:style w:styleId="Style_56" w:type="paragraph">
    <w:name w:val="Header Char"/>
    <w:basedOn w:val="Style_24"/>
    <w:link w:val="Style_56_ch"/>
  </w:style>
  <w:style w:styleId="Style_56_ch" w:type="character">
    <w:name w:val="Header Char"/>
    <w:basedOn w:val="Style_24_ch"/>
    <w:link w:val="Style_56"/>
  </w:style>
  <w:style w:styleId="Style_57" w:type="paragraph">
    <w:name w:val="toc 5"/>
    <w:basedOn w:val="Style_12"/>
    <w:next w:val="Style_12"/>
    <w:link w:val="Style_57_ch"/>
    <w:uiPriority w:val="39"/>
    <w:pPr>
      <w:widowControl w:val="1"/>
      <w:spacing w:after="57"/>
      <w:ind w:left="1134"/>
    </w:pPr>
  </w:style>
  <w:style w:styleId="Style_57_ch" w:type="character">
    <w:name w:val="toc 5"/>
    <w:basedOn w:val="Style_12_ch"/>
    <w:link w:val="Style_57"/>
  </w:style>
  <w:style w:styleId="Style_58" w:type="paragraph">
    <w:name w:val="Font Style36"/>
    <w:link w:val="Style_58_ch"/>
    <w:rPr>
      <w:rFonts w:ascii="Times New Roman" w:hAnsi="Times New Roman"/>
      <w:b w:val="1"/>
    </w:rPr>
  </w:style>
  <w:style w:styleId="Style_58_ch" w:type="character">
    <w:name w:val="Font Style36"/>
    <w:link w:val="Style_58"/>
    <w:rPr>
      <w:rFonts w:ascii="Times New Roman" w:hAnsi="Times New Roman"/>
      <w:b w:val="1"/>
    </w:rPr>
  </w:style>
  <w:style w:styleId="Style_59" w:type="paragraph">
    <w:name w:val="Заголовок 61"/>
    <w:basedOn w:val="Style_12"/>
    <w:next w:val="Style_12"/>
    <w:link w:val="Style_59_ch"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9_ch" w:type="character">
    <w:name w:val="Заголовок 61"/>
    <w:basedOn w:val="Style_12_ch"/>
    <w:link w:val="Style_59"/>
    <w:rPr>
      <w:rFonts w:ascii="Arial" w:hAnsi="Arial"/>
      <w:b w:val="1"/>
      <w:sz w:val="22"/>
    </w:rPr>
  </w:style>
  <w:style w:styleId="Style_60" w:type="paragraph">
    <w:name w:val="Balloon Text"/>
    <w:basedOn w:val="Style_12"/>
    <w:link w:val="Style_60_ch"/>
    <w:rPr>
      <w:rFonts w:ascii="Tahoma" w:hAnsi="Tahoma"/>
      <w:sz w:val="16"/>
    </w:rPr>
  </w:style>
  <w:style w:styleId="Style_60_ch" w:type="character">
    <w:name w:val="Balloon Text"/>
    <w:basedOn w:val="Style_12_ch"/>
    <w:link w:val="Style_60"/>
    <w:rPr>
      <w:rFonts w:ascii="Tahoma" w:hAnsi="Tahoma"/>
      <w:sz w:val="16"/>
    </w:rPr>
  </w:style>
  <w:style w:styleId="Style_61" w:type="paragraph">
    <w:name w:val="Subtitle"/>
    <w:basedOn w:val="Style_12"/>
    <w:next w:val="Style_12"/>
    <w:link w:val="Style_61_ch"/>
    <w:uiPriority w:val="11"/>
    <w:qFormat/>
    <w:rPr>
      <w:rFonts w:ascii="Cambria" w:hAnsi="Cambria"/>
      <w:i w:val="1"/>
      <w:color w:themeColor="accent1" w:val="4F81BD"/>
      <w:spacing w:val="15"/>
      <w:sz w:val="24"/>
    </w:rPr>
  </w:style>
  <w:style w:styleId="Style_61_ch" w:type="character">
    <w:name w:val="Subtitle"/>
    <w:basedOn w:val="Style_12_ch"/>
    <w:link w:val="Style_61"/>
    <w:rPr>
      <w:rFonts w:ascii="Cambria" w:hAnsi="Cambria"/>
      <w:i w:val="1"/>
      <w:color w:themeColor="accent1" w:val="4F81BD"/>
      <w:spacing w:val="15"/>
      <w:sz w:val="24"/>
    </w:rPr>
  </w:style>
  <w:style w:styleId="Style_62" w:type="paragraph">
    <w:name w:val="Quote"/>
    <w:basedOn w:val="Style_12"/>
    <w:next w:val="Style_12"/>
    <w:link w:val="Style_62_ch"/>
    <w:pPr>
      <w:widowControl w:val="1"/>
      <w:ind w:left="720" w:right="720"/>
    </w:pPr>
    <w:rPr>
      <w:i w:val="1"/>
    </w:rPr>
  </w:style>
  <w:style w:styleId="Style_62_ch" w:type="character">
    <w:name w:val="Quote"/>
    <w:basedOn w:val="Style_12_ch"/>
    <w:link w:val="Style_62"/>
    <w:rPr>
      <w:i w:val="1"/>
    </w:rPr>
  </w:style>
  <w:style w:styleId="Style_63" w:type="paragraph">
    <w:name w:val="Title"/>
    <w:basedOn w:val="Style_12"/>
    <w:next w:val="Style_27"/>
    <w:link w:val="Style_63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3_ch" w:type="character">
    <w:name w:val="Title"/>
    <w:basedOn w:val="Style_12_ch"/>
    <w:link w:val="Style_63"/>
    <w:rPr>
      <w:sz w:val="48"/>
    </w:rPr>
  </w:style>
  <w:style w:styleId="Style_64" w:type="paragraph">
    <w:name w:val="heading 4"/>
    <w:next w:val="Style_12"/>
    <w:link w:val="Style_6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4_ch" w:type="character">
    <w:name w:val="heading 4"/>
    <w:link w:val="Style_64"/>
    <w:rPr>
      <w:rFonts w:ascii="XO Thames" w:hAnsi="XO Thames"/>
      <w:b w:val="1"/>
      <w:sz w:val="24"/>
    </w:rPr>
  </w:style>
  <w:style w:styleId="Style_65" w:type="paragraph">
    <w:name w:val="heading 2"/>
    <w:next w:val="Style_12"/>
    <w:link w:val="Style_6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5_ch" w:type="character">
    <w:name w:val="heading 2"/>
    <w:link w:val="Style_65"/>
    <w:rPr>
      <w:rFonts w:ascii="XO Thames" w:hAnsi="XO Thames"/>
      <w:b w:val="1"/>
      <w:sz w:val="28"/>
    </w:rPr>
  </w:style>
  <w:style w:styleId="Style_66" w:type="paragraph">
    <w:name w:val="Заголовок 31"/>
    <w:basedOn w:val="Style_12"/>
    <w:next w:val="Style_12"/>
    <w:link w:val="Style_66_ch"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66_ch" w:type="character">
    <w:name w:val="Заголовок 31"/>
    <w:basedOn w:val="Style_12_ch"/>
    <w:link w:val="Style_66"/>
    <w:rPr>
      <w:rFonts w:ascii="Arial" w:hAnsi="Arial"/>
      <w:sz w:val="30"/>
    </w:rPr>
  </w:style>
  <w:style w:styleId="Style_67" w:type="paragraph">
    <w:name w:val="Символ сноски"/>
    <w:link w:val="Style_67_ch"/>
    <w:rPr>
      <w:vertAlign w:val="superscript"/>
    </w:rPr>
  </w:style>
  <w:style w:styleId="Style_67_ch" w:type="character">
    <w:name w:val="Символ сноски"/>
    <w:link w:val="Style_67"/>
    <w:rPr>
      <w:vertAlign w:val="superscript"/>
    </w:rPr>
  </w:style>
  <w:style w:styleId="Style_68" w:type="paragraph">
    <w:name w:val="Intense Quote"/>
    <w:basedOn w:val="Style_12"/>
    <w:next w:val="Style_12"/>
    <w:link w:val="Style_68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68_ch" w:type="character">
    <w:name w:val="Intense Quote"/>
    <w:basedOn w:val="Style_12_ch"/>
    <w:link w:val="Style_68"/>
    <w:rPr>
      <w:i w:val="1"/>
    </w:rPr>
  </w:style>
  <w:style w:styleId="Style_69" w:type="paragraph">
    <w:name w:val="Заголовок 71"/>
    <w:basedOn w:val="Style_12"/>
    <w:next w:val="Style_12"/>
    <w:link w:val="Style_69_ch"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69_ch" w:type="character">
    <w:name w:val="Заголовок 71"/>
    <w:basedOn w:val="Style_12_ch"/>
    <w:link w:val="Style_69"/>
    <w:rPr>
      <w:rFonts w:ascii="Arial" w:hAnsi="Arial"/>
      <w:b w:val="1"/>
      <w:i w:val="1"/>
      <w:sz w:val="22"/>
    </w:rPr>
  </w:style>
  <w:style w:styleId="Style_70" w:type="paragraph">
    <w:name w:val="index heading"/>
    <w:basedOn w:val="Style_63"/>
    <w:link w:val="Style_70_ch"/>
  </w:style>
  <w:style w:styleId="Style_70_ch" w:type="character">
    <w:name w:val="index heading"/>
    <w:basedOn w:val="Style_63_ch"/>
    <w:link w:val="Style_70"/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71" w:type="table">
    <w:name w:val="Grid Table 3 - Accent 2"/>
    <w:basedOn w:val="Style_6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6 Colorful - Accent 2"/>
    <w:basedOn w:val="Style_6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ned - Accent 2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List Table 4 - Accent 2"/>
    <w:basedOn w:val="Style_6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7 Colorful - Accent 3"/>
    <w:basedOn w:val="Style_6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Grid Table 7 Colorful - Accent 5"/>
    <w:basedOn w:val="Style_6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2 - Accent 5"/>
    <w:basedOn w:val="Style_6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3 - Accent 3"/>
    <w:basedOn w:val="Style_6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2 - Accent 5"/>
    <w:basedOn w:val="Style_6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Таблица простая 21"/>
    <w:basedOn w:val="Style_6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1 Light - Accent 1"/>
    <w:basedOn w:val="Style_6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Bordered - Accent 4"/>
    <w:basedOn w:val="Style_6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4 - Accent 4"/>
    <w:basedOn w:val="Style_6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Grid Table 1 Light - Accent 6"/>
    <w:basedOn w:val="Style_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Таблица простая 5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5 Dark - Accent 3"/>
    <w:basedOn w:val="Style_6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List Table 1 Light - Accent 3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Grid Table 3 - Accent 6"/>
    <w:basedOn w:val="Style_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Grid Table 5 Dark - Accent 3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4 - Accent 2"/>
    <w:basedOn w:val="Style_6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5 Dark - Accent 6"/>
    <w:basedOn w:val="Style_6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Список-таблица 7 цветная1"/>
    <w:basedOn w:val="Style_6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Grid Table 4 - Accent 3"/>
    <w:basedOn w:val="Style_6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List Table 4 - Accent 6"/>
    <w:basedOn w:val="Style_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Grid Table 5 Dark- Accent 4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3 - Accent 2"/>
    <w:basedOn w:val="Style_6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st Table 7 Colorful - Accent 3"/>
    <w:basedOn w:val="Style_6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Table Grid"/>
    <w:basedOn w:val="Style_6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5 Dark - Accent 5"/>
    <w:basedOn w:val="Style_6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Grid Table 2 - Accent 1"/>
    <w:basedOn w:val="Style_6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List Table 4 - Accent 5"/>
    <w:basedOn w:val="Style_6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6 Colorful - Accent 1"/>
    <w:basedOn w:val="Style_6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Grid Table 5 Dark- Accent 1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1 Light - Accent 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1 Light - Accent 4"/>
    <w:basedOn w:val="Style_6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Bordered &amp; Lined - Accent 2"/>
    <w:basedOn w:val="Style_6"/>
    <w:rPr>
      <w:color w:val="404040"/>
    </w:rPr>
    <w:tblPr>
      <w:tblInd w:type="dxa" w:w="0"/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5 Dark - Accent 6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Grid Table 2 - Accent 3"/>
    <w:basedOn w:val="Style_6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7 Colorful - Accent 6"/>
    <w:basedOn w:val="Style_6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6 Colorful - Accent 2"/>
    <w:basedOn w:val="Style_6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List Table 6 Colorful - Accent 4"/>
    <w:basedOn w:val="Style_6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List Table 2 - Accent 3"/>
    <w:basedOn w:val="Style_6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Bordered - Accent 3"/>
    <w:basedOn w:val="Style_6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Таблица-сетка 21"/>
    <w:basedOn w:val="Style_6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st Table 2 - Accent 6"/>
    <w:basedOn w:val="Style_6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2 - Accent 2"/>
    <w:basedOn w:val="Style_6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3 - Accent 4"/>
    <w:basedOn w:val="Style_6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Таблица-сетка 1 светлая1"/>
    <w:basedOn w:val="Style_6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List Table 5 Dark - Accent 4"/>
    <w:basedOn w:val="Style_6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7 Colorful - Accent 4"/>
    <w:basedOn w:val="Style_6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4 - Accent 4"/>
    <w:basedOn w:val="Style_6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5 Dark - Accent 1"/>
    <w:basedOn w:val="Style_6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Bordered &amp; Lined - Accent 6"/>
    <w:basedOn w:val="Style_6"/>
    <w:rPr>
      <w:color w:val="404040"/>
    </w:r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Bordered - Accent 2"/>
    <w:basedOn w:val="Style_6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6 Colorful - Accent 4"/>
    <w:basedOn w:val="Style_6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3 - Accent 6"/>
    <w:basedOn w:val="Style_6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Список-таблица 1 светлая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st Table 7 Colorful - Accent 4"/>
    <w:basedOn w:val="Style_6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3 - Accent 1"/>
    <w:basedOn w:val="Style_6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6 Colorful - Accent 1"/>
    <w:basedOn w:val="Style_6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ned - Accent 6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6 Colorful - Accent 5"/>
    <w:basedOn w:val="Style_6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2 - Accent 4"/>
    <w:basedOn w:val="Style_6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7 Colorful - Accent 1"/>
    <w:basedOn w:val="Style_6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st Table 7 Colorful - Accent 5"/>
    <w:basedOn w:val="Style_6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Grid Table 3 - Accent 4"/>
    <w:basedOn w:val="Style_6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3 - Accent 1"/>
    <w:basedOn w:val="Style_6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Grid Table 1 Light - Accent 5"/>
    <w:basedOn w:val="Style_6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st Table 1 Light - Accent 6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6 Colorful - Accent 3"/>
    <w:basedOn w:val="Style_6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Bordered &amp; Lined - Accent 1"/>
    <w:basedOn w:val="Style_6"/>
    <w:rPr>
      <w:color w:val="404040"/>
    </w:r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List Table 7 Colorful - Accent 2"/>
    <w:basedOn w:val="Style_6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Bordered &amp; Lined - Accent 3"/>
    <w:basedOn w:val="Style_6"/>
    <w:rPr>
      <w:color w:val="404040"/>
    </w:rPr>
    <w:tblPr>
      <w:tblInd w:type="dxa" w:w="0"/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5 Dark - Accent 2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2 - Accent 1"/>
    <w:basedOn w:val="Style_6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Таблица простая 4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Таблица-сетка 5 темная1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Таблица-сетка 41"/>
    <w:basedOn w:val="Style_6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Список-таблица 6 цветная1"/>
    <w:basedOn w:val="Style_6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Таблица-сетка 6 цветная1"/>
    <w:basedOn w:val="Style_6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5 Dark - Accent 2"/>
    <w:basedOn w:val="Style_6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Grid Table 4 - Accent 6"/>
    <w:basedOn w:val="Style_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Table Grid Light"/>
    <w:basedOn w:val="Style_6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1 Light - Accent 3"/>
    <w:basedOn w:val="Style_6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6 Colorful - Accent 6"/>
    <w:basedOn w:val="Style_6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Список-таблица 21"/>
    <w:basedOn w:val="Style_6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1 Light - Accent 4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5 Dark - Accent 5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ned - Accent 4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6 Colorful - Accent 3"/>
    <w:basedOn w:val="Style_6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1 Light - Accent 5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1 Light - Accent 2"/>
    <w:basedOn w:val="Style_6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ned - Accent 1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7 Colorful - Accent 2"/>
    <w:basedOn w:val="Style_6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ned - Accent 3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Список-таблица 41"/>
    <w:basedOn w:val="Style_6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2 - Accent 4"/>
    <w:basedOn w:val="Style_6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Grid Table 4 - Accent 5"/>
    <w:basedOn w:val="Style_6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4 - Accent 1"/>
    <w:basedOn w:val="Style_6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4 - Accent 1"/>
    <w:basedOn w:val="Style_6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Список-таблица 31"/>
    <w:basedOn w:val="Style_6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st Table 4 - Accent 3"/>
    <w:basedOn w:val="Style_6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- Accent 6"/>
    <w:basedOn w:val="Style_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- Accent 5"/>
    <w:basedOn w:val="Style_6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st Table 3 - Accent 3"/>
    <w:basedOn w:val="Style_6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Bordered &amp; Lined - Accent 5"/>
    <w:basedOn w:val="Style_6"/>
    <w:rPr>
      <w:color w:val="404040"/>
    </w:r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Таблица простая 3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7 Colorful - Accent 6"/>
    <w:basedOn w:val="Style_6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List Table 3 - Accent 5"/>
    <w:basedOn w:val="Style_6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Bordered &amp; Lined - Accent 4"/>
    <w:basedOn w:val="Style_6"/>
    <w:rPr>
      <w:color w:val="404040"/>
    </w:rPr>
    <w:tblPr>
      <w:tblInd w:type="dxa" w:w="0"/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Grid Table 2 - Accent 6"/>
    <w:basedOn w:val="Style_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Bordered &amp; Lined - Accent"/>
    <w:basedOn w:val="Style_6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Таблица-сетка 7 цветная1"/>
    <w:basedOn w:val="Style_6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Bordered"/>
    <w:basedOn w:val="Style_6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Bordered - Accent 1"/>
    <w:basedOn w:val="Style_6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Lined - Accent 5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Lined - Accent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Список-таблица 5 темная1"/>
    <w:basedOn w:val="Style_6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Таблица простая 11"/>
    <w:basedOn w:val="Style_6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List Table 1 Light - Accent 2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Grid Table 2 - Accent 2"/>
    <w:basedOn w:val="Style_6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Grid Table 7 Colorful - Accent 1"/>
    <w:basedOn w:val="Style_6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6 Colorful - Accent 6"/>
    <w:basedOn w:val="Style_6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Grid Table 3 - Accent 5"/>
    <w:basedOn w:val="Style_6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5" w:type="table">
    <w:name w:val="Таблица-сетка 31"/>
    <w:basedOn w:val="Style_6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List Table 6 Colorful - Accent 5"/>
    <w:basedOn w:val="Style_6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2026-08-14T11:09:01Z</dcterms:created>
  <dcterms:modified xsi:type="dcterms:W3CDTF">2026-08-14T11:12:56Z</dcterms:modified>
</cp:coreProperties>
</file>