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contextualSpacing/>
        <w:ind w:left="0" w:right="-283" w:firstLine="0"/>
        <w:jc w:val="left"/>
        <w:spacing w:line="175" w:lineRule="auto"/>
        <w:rPr>
          <w:rFonts w:ascii="Tinos" w:hAnsi="Tinos" w:eastAsia="Tinos" w:cs="Tinos"/>
          <w:color w:val="000000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                                                         </w:t>
      </w:r>
      <w:r>
        <w:rPr>
          <w:rFonts w:ascii="Tinos" w:hAnsi="Tinos" w:eastAsia="Tinos" w:cs="Tinos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809" cy="57039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5775079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0807" cy="570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86pt;height:44.91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eastAsia="Tinos" w:cs="Tinos"/>
          <w:color w:val="000000"/>
          <w:sz w:val="28"/>
          <w:szCs w:val="28"/>
        </w:rPr>
        <w:t xml:space="preserve">              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contextualSpacing/>
        <w:ind w:left="0" w:right="-283" w:firstLine="0"/>
        <w:jc w:val="left"/>
        <w:spacing w:line="175" w:lineRule="auto"/>
        <w:rPr>
          <w:rFonts w:ascii="Tinos" w:hAnsi="Tinos" w:cs="Tinos"/>
          <w:color w:val="000000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            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175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242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242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spacing w:line="242" w:lineRule="auto"/>
        <w:rPr>
          <w:rFonts w:ascii="FreeSerif" w:hAnsi="FreeSerif" w:cs="FreeSerif"/>
          <w:b/>
          <w:bCs/>
          <w:color w:val="000000"/>
          <w:sz w:val="24"/>
          <w:szCs w:val="24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color w:val="000000"/>
          <w:sz w:val="24"/>
          <w:szCs w:val="24"/>
        </w:rPr>
      </w:r>
      <w:r>
        <w:rPr>
          <w:rFonts w:ascii="FreeSerif" w:hAnsi="FreeSerif" w:cs="FreeSerif"/>
          <w:b/>
          <w:bCs/>
          <w:color w:val="000000"/>
          <w:sz w:val="24"/>
          <w:szCs w:val="24"/>
        </w:rPr>
      </w:r>
    </w:p>
    <w:p>
      <w:pPr>
        <w:pStyle w:val="715"/>
        <w:contextualSpacing/>
        <w:ind w:left="0" w:right="-283" w:firstLine="0"/>
        <w:jc w:val="both"/>
        <w:spacing w:line="242" w:lineRule="auto"/>
        <w:rPr>
          <w:rFonts w:ascii="FreeSerif" w:hAnsi="FreeSerif" w:cs="FreeSerif"/>
          <w:b/>
          <w:bCs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907"/>
        <w:contextualSpacing/>
        <w:ind w:left="0" w:right="-283" w:firstLine="0"/>
        <w:jc w:val="center"/>
        <w:spacing w:after="0" w:line="240" w:lineRule="auto"/>
        <w:rPr>
          <w:rFonts w:ascii="FreeSerif" w:hAnsi="FreeSerif" w:eastAsia="FreeSerif" w:cs="FreeSerif"/>
          <w:color w:val="000000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</w:p>
    <w:p>
      <w:pPr>
        <w:pStyle w:val="907"/>
        <w:contextualSpacing/>
        <w:ind w:left="0" w:right="-283" w:firstLine="0"/>
        <w:jc w:val="center"/>
        <w:spacing w:after="0" w:line="240" w:lineRule="auto"/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07"/>
        <w:contextualSpacing/>
        <w:ind w:left="0" w:right="-283" w:firstLine="0"/>
        <w:jc w:val="center"/>
        <w:spacing w:after="0" w:line="240" w:lineRule="auto"/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tabs>
          <w:tab w:val="left" w:pos="5469" w:leader="none"/>
        </w:tabs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24.04.2025г.</w:t>
        <w:tab/>
        <w:tab/>
        <w:tab/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                    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58</w:t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715"/>
        <w:contextualSpacing/>
        <w:ind w:left="0" w:right="-283" w:firstLine="0"/>
        <w:jc w:val="center"/>
        <w:rPr>
          <w:rFonts w:ascii="FreeSerif" w:hAnsi="FreeSerif" w:cs="FreeSerif"/>
          <w:color w:val="000000"/>
          <w:sz w:val="28"/>
          <w:szCs w:val="28"/>
        </w:rPr>
        <w:suppressLineNumbers w:val="0"/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 станица  Ленин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градская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0"/>
        <w:jc w:val="center"/>
        <w:spacing w:line="240" w:lineRule="auto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даче согласия на передачу муниципального имущества помещения (кабинет) в безвозмездное пользование Ленинградской районной территориальной организации Общероссийского профессионального </w:t>
      </w:r>
      <w:r>
        <w:rPr>
          <w:b/>
          <w:bCs/>
        </w:rPr>
      </w:r>
    </w:p>
    <w:p>
      <w:pPr>
        <w:contextualSpacing/>
        <w:ind w:firstLine="0"/>
        <w:jc w:val="center"/>
        <w:spacing w:line="240" w:lineRule="auto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союза работников государственных учреждений и общественного обслуживания Российской Федерации</w:t>
      </w:r>
      <w:r>
        <w:rPr>
          <w:b/>
          <w:bCs/>
        </w:rPr>
      </w:r>
    </w:p>
    <w:p>
      <w:pPr>
        <w:contextualSpacing/>
        <w:ind w:firstLine="0"/>
        <w:jc w:val="center"/>
        <w:spacing w:line="240" w:lineRule="auto"/>
        <w:rPr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b/>
          <w:bCs/>
        </w:rPr>
      </w:r>
    </w:p>
    <w:p>
      <w:pPr>
        <w:contextualSpacing/>
        <w:ind w:firstLine="0"/>
        <w:spacing w:line="240" w:lineRule="auto"/>
      </w:pPr>
      <w:r>
        <w:rPr>
          <w:rFonts w:ascii="FreeSerif" w:hAnsi="FreeSerif" w:eastAsia="FreeSerif" w:cs="FreeSerif"/>
          <w:sz w:val="28"/>
          <w:szCs w:val="28"/>
        </w:rPr>
      </w:r>
      <w:r/>
    </w:p>
    <w:p>
      <w:pPr>
        <w:contextualSpacing/>
        <w:ind w:firstLine="720"/>
        <w:spacing w:line="240" w:lineRule="auto"/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26 июля 2006 г. № 135-ФЗ «О защите конкуренции», решением Совета муниципального образования Ленинградски</w:t>
      </w:r>
      <w:r>
        <w:rPr>
          <w:rFonts w:ascii="FreeSerif" w:hAnsi="FreeSerif" w:eastAsia="FreeSerif" w:cs="FreeSerif"/>
          <w:sz w:val="28"/>
          <w:szCs w:val="28"/>
        </w:rPr>
        <w:t xml:space="preserve">й муниципальный округ Краснодарского края от 23 декабря 2024 г. № 145 «О порядке владения, пользования и распоряжения имуществом, находящимся в муниципальной собственности муниципального образования Ленинградский муниципальный округ Краснодарского края», Ус</w:t>
      </w:r>
      <w:r>
        <w:rPr>
          <w:rFonts w:ascii="FreeSerif" w:hAnsi="FreeSerif" w:eastAsia="FreeSerif" w:cs="FreeSerif"/>
          <w:sz w:val="28"/>
          <w:szCs w:val="28"/>
        </w:rPr>
        <w:t xml:space="preserve">тавом муниципального образования Ленинградский муниципальный округ Краснодарского края, рассмотрев заявление директора муниципального казенного учреждения «Центр обеспечения деятельности органов местного самоуправления Ленинградского муниципального округа К</w:t>
      </w:r>
      <w:r>
        <w:rPr>
          <w:rFonts w:ascii="FreeSerif" w:hAnsi="FreeSerif" w:eastAsia="FreeSerif" w:cs="FreeSerif"/>
          <w:sz w:val="28"/>
          <w:szCs w:val="28"/>
        </w:rPr>
        <w:t xml:space="preserve">раснодарского края» Комарова В.В. от 26 марта   2025 г. № 78 о даче согласия на передачу в безвозмездное пользование недвижимого муниципального имущества сроком на 5 (пять) лет, Совет муниципального образования Ленинградский муниципальный округ Краснодарско</w:t>
      </w:r>
      <w:r>
        <w:rPr>
          <w:rFonts w:ascii="FreeSerif" w:hAnsi="FreeSerif" w:eastAsia="FreeSerif" w:cs="FreeSerif"/>
          <w:sz w:val="28"/>
          <w:szCs w:val="28"/>
        </w:rPr>
        <w:t xml:space="preserve">го края р е ш и л:</w:t>
      </w:r>
      <w:r/>
    </w:p>
    <w:p>
      <w:pPr>
        <w:contextualSpacing/>
        <w:ind w:firstLine="720"/>
        <w:spacing w:line="240" w:lineRule="auto"/>
      </w:pPr>
      <w:r>
        <w:rPr>
          <w:rFonts w:ascii="FreeSerif" w:hAnsi="FreeSerif" w:eastAsia="FreeSerif" w:cs="FreeSerif"/>
          <w:sz w:val="28"/>
          <w:szCs w:val="28"/>
        </w:rPr>
        <w:t xml:space="preserve">1. Дать согласие администрации муниципального образования Ленинградский муниципальный округ Краснодарского края на передачу недвижимого муниципального имущества, находящегося в оперативном управлении муниципального казенного учреждения «Центр обеспечения де</w:t>
      </w:r>
      <w:r>
        <w:rPr>
          <w:rFonts w:ascii="FreeSerif" w:hAnsi="FreeSerif" w:eastAsia="FreeSerif" w:cs="FreeSerif"/>
          <w:sz w:val="28"/>
          <w:szCs w:val="28"/>
        </w:rPr>
        <w:t xml:space="preserve">ятельности органов местного самоуправления Ленинградского муниципального округа Краснодарского края» (Комаров В.В.), в безвозмездное пользование Ленинградской районной территориальной организации Общероссийского профессионального союза работников государств</w:t>
      </w:r>
      <w:r>
        <w:rPr>
          <w:rFonts w:ascii="FreeSerif" w:hAnsi="FreeSerif" w:eastAsia="FreeSerif" w:cs="FreeSerif"/>
          <w:sz w:val="28"/>
          <w:szCs w:val="28"/>
        </w:rPr>
        <w:t xml:space="preserve">енных учреждений и общественного обслуживания Российской Федерации (далее – Ленинградская РТО ПРГУ РФ) для размещения профсоюзного комитета для организации работы специалистов Ленинградской РТО ПРГУ РФ согласно приложению без заключения договора на оплату к</w:t>
      </w:r>
      <w:r>
        <w:rPr>
          <w:rFonts w:ascii="FreeSerif" w:hAnsi="FreeSerif" w:eastAsia="FreeSerif" w:cs="FreeSerif"/>
          <w:sz w:val="28"/>
          <w:szCs w:val="28"/>
        </w:rPr>
        <w:t xml:space="preserve">оммунальных, эксплуатационных и административно-хозяйственных услуг.</w:t>
      </w:r>
      <w:r/>
    </w:p>
    <w:p>
      <w:pPr>
        <w:contextualSpacing/>
        <w:ind w:firstLine="720"/>
        <w:spacing w:line="240" w:lineRule="auto"/>
      </w:pPr>
      <w:r>
        <w:rPr>
          <w:rFonts w:ascii="FreeSerif" w:hAnsi="FreeSerif" w:eastAsia="FreeSerif" w:cs="FreeSerif"/>
          <w:sz w:val="28"/>
          <w:szCs w:val="28"/>
        </w:rPr>
        <w:t xml:space="preserve">2. Директору муниципального казенного учреждения «Центр обеспечения деятельности органов местного самоуправления Ленинградского муниципального округа Краснодарского края» Комарову В.В. осуществить юридические действия по передаче нежилого помещения Ленингра</w:t>
      </w:r>
      <w:r>
        <w:rPr>
          <w:rFonts w:ascii="FreeSerif" w:hAnsi="FreeSerif" w:eastAsia="FreeSerif" w:cs="FreeSerif"/>
          <w:sz w:val="28"/>
          <w:szCs w:val="28"/>
        </w:rPr>
        <w:t xml:space="preserve">дской РТО ПРГУ РФ и заключить договор безвозмездного пользования муниципальным имуществом сроком на 5 (пять) лет.</w:t>
      </w:r>
      <w:r/>
    </w:p>
    <w:p>
      <w:pPr>
        <w:contextualSpacing/>
        <w:ind w:firstLine="720"/>
        <w:spacing w:line="240" w:lineRule="auto"/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Г.В.).</w:t>
      </w:r>
      <w:r/>
    </w:p>
    <w:p>
      <w:pPr>
        <w:contextualSpacing/>
        <w:ind w:firstLine="720"/>
        <w:spacing w:line="240" w:lineRule="auto"/>
      </w:pPr>
      <w:r>
        <w:rPr>
          <w:rFonts w:ascii="FreeSerif" w:hAnsi="FreeSerif" w:eastAsia="FreeSerif" w:cs="FreeSerif"/>
          <w:sz w:val="28"/>
          <w:szCs w:val="28"/>
        </w:rPr>
        <w:t xml:space="preserve">4. Настоящее решение вступает в силу со дня его подписания.</w:t>
      </w:r>
      <w:r/>
    </w:p>
    <w:p>
      <w:pPr>
        <w:contextualSpacing/>
        <w:ind w:firstLine="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851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contextualSpacing/>
        <w:keepNext w:val="0"/>
        <w:spacing w:line="240" w:lineRule="atLeast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</w:t>
      </w:r>
      <w:r>
        <w:rPr>
          <w:rFonts w:ascii="FreeSerif" w:hAnsi="FreeSerif" w:eastAsia="FreeSerif" w:cs="FreeSerif"/>
          <w:sz w:val="28"/>
          <w:szCs w:val="28"/>
        </w:rPr>
        <w:t xml:space="preserve">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16"/>
        <w:contextualSpacing/>
        <w:keepNext w:val="0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16"/>
        <w:contextualSpacing/>
        <w:keepNext w:val="0"/>
        <w:spacing w:line="240" w:lineRule="atLeas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И.А. 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0"/>
        <w:jc w:val="left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continuous"/>
      <w:pgSz w:w="11900" w:h="16820" w:orient="portrait"/>
      <w:pgMar w:top="567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1362" w:hanging="795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5"/>
    <w:link w:val="739"/>
    <w:uiPriority w:val="10"/>
    <w:rPr>
      <w:sz w:val="48"/>
      <w:szCs w:val="48"/>
    </w:rPr>
  </w:style>
  <w:style w:type="character" w:styleId="708">
    <w:name w:val="Subtitle Char"/>
    <w:basedOn w:val="725"/>
    <w:link w:val="741"/>
    <w:uiPriority w:val="11"/>
    <w:rPr>
      <w:sz w:val="24"/>
      <w:szCs w:val="24"/>
    </w:rPr>
  </w:style>
  <w:style w:type="character" w:styleId="709">
    <w:name w:val="Quote Char"/>
    <w:link w:val="743"/>
    <w:uiPriority w:val="29"/>
    <w:rPr>
      <w:i/>
    </w:rPr>
  </w:style>
  <w:style w:type="character" w:styleId="710">
    <w:name w:val="Intense Quote Char"/>
    <w:link w:val="745"/>
    <w:uiPriority w:val="30"/>
    <w:rPr>
      <w:i/>
    </w:rPr>
  </w:style>
  <w:style w:type="character" w:styleId="711">
    <w:name w:val="Header Char"/>
    <w:basedOn w:val="725"/>
    <w:link w:val="747"/>
    <w:uiPriority w:val="99"/>
  </w:style>
  <w:style w:type="character" w:styleId="712">
    <w:name w:val="Caption Char"/>
    <w:basedOn w:val="751"/>
    <w:link w:val="749"/>
    <w:uiPriority w:val="99"/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pPr>
      <w:ind w:firstLine="560"/>
      <w:jc w:val="both"/>
      <w:spacing w:line="300" w:lineRule="auto"/>
      <w:widowControl w:val="off"/>
    </w:pPr>
    <w:rPr>
      <w:sz w:val="24"/>
      <w:szCs w:val="24"/>
    </w:rPr>
  </w:style>
  <w:style w:type="paragraph" w:styleId="716">
    <w:name w:val="Heading 1"/>
    <w:basedOn w:val="715"/>
    <w:next w:val="715"/>
    <w:link w:val="728"/>
    <w:qFormat/>
    <w:pPr>
      <w:ind w:firstLine="0"/>
      <w:keepNext/>
      <w:spacing w:line="240" w:lineRule="auto"/>
      <w:outlineLvl w:val="0"/>
    </w:pPr>
    <w:rPr>
      <w:sz w:val="28"/>
    </w:rPr>
  </w:style>
  <w:style w:type="paragraph" w:styleId="717">
    <w:name w:val="Heading 2"/>
    <w:basedOn w:val="715"/>
    <w:next w:val="715"/>
    <w:link w:val="729"/>
    <w:qFormat/>
    <w:pPr>
      <w:keepNext/>
      <w:outlineLvl w:val="1"/>
    </w:pPr>
    <w:rPr>
      <w:sz w:val="28"/>
    </w:rPr>
  </w:style>
  <w:style w:type="paragraph" w:styleId="718">
    <w:name w:val="Heading 3"/>
    <w:basedOn w:val="715"/>
    <w:next w:val="715"/>
    <w:link w:val="730"/>
    <w:qFormat/>
    <w:pPr>
      <w:ind w:firstLine="0"/>
      <w:jc w:val="center"/>
      <w:keepNext/>
      <w:spacing w:line="240" w:lineRule="auto"/>
      <w:outlineLvl w:val="2"/>
    </w:pPr>
    <w:rPr>
      <w:b/>
      <w:sz w:val="28"/>
      <w:szCs w:val="28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rPr>
      <w:lang w:eastAsia="zh-CN"/>
    </w:rPr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748"/>
    <w:pPr>
      <w:tabs>
        <w:tab w:val="center" w:pos="4677" w:leader="none"/>
        <w:tab w:val="right" w:pos="9355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15"/>
    <w:link w:val="752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link w:val="71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pPr>
      <w:spacing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ind w:firstLine="0"/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 w:firstLine="0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 w:firstLine="0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 w:firstLine="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 w:firstLine="0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 w:firstLine="0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 w:firstLine="0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 w:firstLine="0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 w:firstLine="0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15"/>
    <w:next w:val="715"/>
    <w:uiPriority w:val="99"/>
    <w:unhideWhenUsed/>
  </w:style>
  <w:style w:type="paragraph" w:styleId="897" w:customStyle="1">
    <w:name w:val="FR1"/>
    <w:pPr>
      <w:spacing w:before="580"/>
      <w:widowControl w:val="off"/>
    </w:pPr>
    <w:rPr>
      <w:rFonts w:ascii="Arial" w:hAnsi="Arial" w:cs="Arial"/>
      <w:sz w:val="22"/>
      <w:szCs w:val="22"/>
    </w:rPr>
  </w:style>
  <w:style w:type="paragraph" w:styleId="898">
    <w:name w:val="Body Text Indent"/>
    <w:basedOn w:val="715"/>
    <w:pPr>
      <w:ind w:firstLine="567"/>
      <w:spacing w:line="240" w:lineRule="auto"/>
    </w:pPr>
    <w:rPr>
      <w:sz w:val="28"/>
    </w:rPr>
  </w:style>
  <w:style w:type="character" w:styleId="899">
    <w:name w:val="page number"/>
    <w:basedOn w:val="725"/>
  </w:style>
  <w:style w:type="paragraph" w:styleId="900">
    <w:name w:val="Body Text"/>
    <w:basedOn w:val="715"/>
    <w:pPr>
      <w:ind w:firstLine="0"/>
      <w:spacing w:line="240" w:lineRule="auto"/>
      <w:tabs>
        <w:tab w:val="left" w:pos="6720" w:leader="none"/>
      </w:tabs>
    </w:pPr>
    <w:rPr>
      <w:sz w:val="28"/>
    </w:rPr>
  </w:style>
  <w:style w:type="paragraph" w:styleId="901" w:customStyle="1">
    <w:name w:val="ConsNonformat"/>
    <w:pPr>
      <w:ind w:right="19772"/>
      <w:widowControl w:val="off"/>
    </w:pPr>
    <w:rPr>
      <w:rFonts w:ascii="Courier New" w:hAnsi="Courier New" w:cs="Courier New"/>
      <w:lang w:eastAsia="en-US"/>
    </w:rPr>
  </w:style>
  <w:style w:type="paragraph" w:styleId="902">
    <w:name w:val="Body Text 2"/>
    <w:basedOn w:val="715"/>
    <w:pPr>
      <w:ind w:firstLine="0"/>
      <w:jc w:val="center"/>
      <w:spacing w:line="240" w:lineRule="auto"/>
    </w:pPr>
    <w:rPr>
      <w:sz w:val="28"/>
    </w:rPr>
  </w:style>
  <w:style w:type="paragraph" w:styleId="903">
    <w:name w:val="Body Text Indent 2"/>
    <w:basedOn w:val="715"/>
    <w:pPr>
      <w:ind w:firstLine="851"/>
      <w:spacing w:line="240" w:lineRule="auto"/>
    </w:pPr>
    <w:rPr>
      <w:sz w:val="28"/>
    </w:rPr>
  </w:style>
  <w:style w:type="paragraph" w:styleId="904">
    <w:name w:val="Balloon Text"/>
    <w:basedOn w:val="715"/>
    <w:link w:val="905"/>
    <w:pPr>
      <w:spacing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link w:val="904"/>
    <w:rPr>
      <w:rFonts w:ascii="Tahoma" w:hAnsi="Tahoma" w:cs="Tahoma"/>
      <w:sz w:val="16"/>
      <w:szCs w:val="16"/>
    </w:rPr>
  </w:style>
  <w:style w:type="paragraph" w:styleId="906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07" w:customStyle="1">
    <w:name w:val="Название объекта1"/>
    <w:semiHidden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 образова-ния Ленинградский район «О корректировке перспективного финансового плана и разработке проекта бюджета муниципального образования Ле-нинградский район на 2008 год»</dc:title>
  <dc:creator>vitalik</dc:creator>
  <cp:revision>84</cp:revision>
  <dcterms:created xsi:type="dcterms:W3CDTF">2007-06-13T08:27:00Z</dcterms:created>
  <dcterms:modified xsi:type="dcterms:W3CDTF">2025-04-30T06:53:11Z</dcterms:modified>
  <cp:version>983040</cp:version>
</cp:coreProperties>
</file>