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53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75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26.09.2025 г.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112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40"/>
        <w:ind w:left="855" w:right="849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40"/>
        <w:ind w:left="0" w:right="29" w:firstLine="0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 внесении изменений </w:t>
      </w:r>
      <w:bookmarkStart w:id="0" w:name="_Hlk188261080"/>
      <w:r>
        <w:rPr>
          <w:rFonts w:ascii="FreeSerif" w:hAnsi="FreeSerif" w:eastAsia="FreeSerif" w:cs="FreeSerif"/>
          <w:sz w:val="28"/>
          <w:szCs w:val="28"/>
        </w:rPr>
        <w:t xml:space="preserve">в решение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 </w:t>
      </w:r>
      <w:bookmarkStart w:id="1" w:name="_Hlk192667355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декабря 20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46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О бюджете муниципального образования 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Ленинградский муниципальный округ </w:t>
      </w:r>
      <w:bookmarkStart w:id="2" w:name="_Hlk190350806"/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Краснодарского края</w:t>
      </w:r>
      <w:bookmarkEnd w:id="2"/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на 2025 год и на плановый период 2026 и 2027 годов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» </w:t>
      </w:r>
      <w:bookmarkEnd w:id="1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29" w:firstLine="0"/>
        <w:jc w:val="center"/>
        <w:spacing w:line="252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52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ab/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0" w:firstLine="709"/>
        <w:jc w:val="both"/>
        <w:spacing w:line="252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15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Бюджетного кодекса Р</w:t>
      </w:r>
      <w:r>
        <w:rPr>
          <w:rFonts w:ascii="FreeSerif" w:hAnsi="FreeSerif" w:eastAsia="FreeSerif" w:cs="FreeSerif"/>
          <w:sz w:val="28"/>
          <w:szCs w:val="28"/>
        </w:rPr>
        <w:t xml:space="preserve">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едерации</w:t>
      </w:r>
      <w:r>
        <w:rPr>
          <w:rFonts w:ascii="FreeSerif" w:hAnsi="FreeSerif" w:eastAsia="FreeSerif" w:cs="FreeSerif"/>
          <w:sz w:val="28"/>
          <w:szCs w:val="28"/>
        </w:rPr>
        <w:t xml:space="preserve">, руководствуясь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 е ш и л: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both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Внести </w:t>
      </w:r>
      <w:r>
        <w:rPr>
          <w:rFonts w:ascii="FreeSerif" w:hAnsi="FreeSerif" w:eastAsia="FreeSerif" w:cs="FreeSerif"/>
          <w:sz w:val="28"/>
          <w:szCs w:val="28"/>
        </w:rPr>
        <w:t xml:space="preserve">в 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24 декабря 2024 г. № 146 «О бюджете муниципального образования Ленинградский муниципальный округ Краснодарского края на 2025 год и на плановый период 2026 и 2027 годов» </w:t>
      </w:r>
      <w:r>
        <w:rPr>
          <w:rFonts w:ascii="FreeSerif" w:hAnsi="FreeSerif" w:eastAsia="FreeSerif" w:cs="FreeSerif"/>
          <w:sz w:val="28"/>
          <w:szCs w:val="28"/>
        </w:rPr>
        <w:t xml:space="preserve">следующие изменения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3" w:name="_Hlk189423975"/>
      <w:r>
        <w:rPr>
          <w:rFonts w:ascii="FreeSerif" w:hAnsi="FreeSerif" w:eastAsia="FreeSerif" w:cs="FreeSerif"/>
          <w:sz w:val="28"/>
          <w:szCs w:val="28"/>
        </w:rPr>
        <w:t xml:space="preserve">1) пункт 1 статьи 1 изложить в следующей редакции: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«1. Утвердить основные характеристики бюджета муниципального образования Ленинградский муниципальный округ Краснодарского края на 2025 год: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общий объем доходов в сумме 3 546 352,1 тыс. рублей;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общий объем расходов в сумме 3 612 943,5 тыс. рублей;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верхний предел муниципального внутреннего долга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 на 1 января 2026 года в сумме 10627,5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0,0 тыс. рублей;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tabs>
          <w:tab w:val="clear" w:pos="79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дефицит бюджета муниципального образования Ленинградский муниципальный округ Краснодарского края в сумме 66 591,4 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.»;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0" w:firstLine="709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подпункт 1 и 2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пункт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статьи 1 изложить в следующей редакции: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общий объем доходов на 2026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2 826 338,2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 и 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2 746 303,5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общий объем расходов на 2026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2 822 795,7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35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870,0 тыс. рублей, и 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2 739 218,5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70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995,0 тыс. рублей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;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tabs>
          <w:tab w:val="clear" w:pos="79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bookmarkEnd w:id="3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ю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9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исключить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пункт 2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10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исключить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 пункт 1 статьи 14 дополнить подпунктом следующего содержания:</w:t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«л) п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одключение (технологическое присоединение) к сетям инженерно-технического обеспечения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.»</w:t>
      </w:r>
      <w:bookmarkStart w:id="4" w:name="_GoBack"/>
      <w:r>
        <w:rPr>
          <w:rFonts w:ascii="FreeSerif" w:hAnsi="FreeSerif" w:eastAsia="FreeSerif" w:cs="FreeSerif"/>
          <w:sz w:val="28"/>
          <w:szCs w:val="28"/>
        </w:rPr>
      </w:r>
      <w:bookmarkEnd w:id="4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</w:t>
      </w:r>
      <w:r>
        <w:rPr>
          <w:rFonts w:ascii="FreeSerif" w:hAnsi="FreeSerif" w:eastAsia="FreeSerif" w:cs="FreeSerif"/>
          <w:sz w:val="28"/>
          <w:szCs w:val="28"/>
        </w:rPr>
        <w:t xml:space="preserve">я 1, 2, 3,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, 9 и 10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изложить в новой редакции (прило</w:t>
      </w:r>
      <w:r>
        <w:rPr>
          <w:rFonts w:ascii="FreeSerif" w:hAnsi="FreeSerif" w:eastAsia="FreeSerif" w:cs="FreeSerif"/>
          <w:sz w:val="28"/>
          <w:szCs w:val="28"/>
        </w:rPr>
        <w:t xml:space="preserve">жени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-6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) дополнить решение приложением 8.2 (приложение 7).</w:t>
      </w:r>
      <w:r>
        <w:rPr>
          <w:rFonts w:ascii="FreeSerif" w:hAnsi="FreeSerif" w:cs="FreeSerif"/>
          <w:sz w:val="28"/>
          <w:szCs w:val="28"/>
        </w:rPr>
      </w:r>
    </w:p>
    <w:p>
      <w:pPr>
        <w:pStyle w:val="750"/>
        <w:ind w:left="0" w:right="0" w:firstLine="709"/>
        <w:spacing w:line="252" w:lineRule="auto"/>
        <w:widowControl w:val="off"/>
        <w:tabs>
          <w:tab w:val="left" w:pos="855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выполнением настоящего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по вопросам экономики, бюджета, налогам и имущественных 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Бауэр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В.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1"/>
        <w:ind w:left="0" w:right="0" w:firstLine="709"/>
        <w:spacing w:line="252" w:lineRule="auto"/>
        <w:widowControl w:val="off"/>
        <w:tabs>
          <w:tab w:val="clear" w:pos="798" w:leader="none"/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3. Настоящее решение вступает в силу со дня</w:t>
      </w:r>
      <w:r>
        <w:rPr>
          <w:rFonts w:ascii="FreeSerif" w:hAnsi="FreeSerif" w:eastAsia="FreeSerif" w:cs="FreeSerif"/>
          <w:sz w:val="28"/>
          <w:szCs w:val="28"/>
        </w:rPr>
        <w:t xml:space="preserve"> его официального опубликования, за исключением подпункта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пункта 1 решения, вступающего в силу со дня его официального опубликования и распространяющего свое действие на </w:t>
      </w:r>
      <w:r>
        <w:rPr>
          <w:rFonts w:ascii="FreeSerif" w:hAnsi="FreeSerif" w:eastAsia="FreeSerif" w:cs="FreeSerif"/>
          <w:sz w:val="28"/>
          <w:szCs w:val="28"/>
        </w:rPr>
        <w:t xml:space="preserve">правоотношения,</w:t>
      </w:r>
      <w:r>
        <w:rPr>
          <w:rFonts w:ascii="FreeSerif" w:hAnsi="FreeSerif" w:eastAsia="FreeSerif" w:cs="FreeSerif"/>
          <w:sz w:val="28"/>
          <w:szCs w:val="28"/>
        </w:rPr>
        <w:t xml:space="preserve"> возникшие с 1 января 2025 года.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Исполняющий обязанности </w:t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глав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ы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  <w:lang w:eastAsia="en-US"/>
        </w:rPr>
      </w:r>
      <w:r/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В.Н. Шерстобитов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/>
    </w:p>
    <w:p>
      <w:pPr>
        <w:widowControl w:val="off"/>
        <w:tabs>
          <w:tab w:val="left" w:pos="8505" w:leader="none"/>
        </w:tabs>
        <w:rPr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680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78655310"/>
      <w:rPr/>
    </w:sdtPr>
    <w:sdtContent>
      <w:p>
        <w:pPr>
          <w:pStyle w:val="7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</w:p>
  <w:p>
    <w:pPr>
      <w:pStyle w:val="7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/>
    <w:r/>
  </w:p>
  <w:p>
    <w:pPr>
      <w:pStyle w:val="748"/>
      <w:tabs>
        <w:tab w:val="center" w:pos="4849" w:leader="none"/>
        <w:tab w:val="right" w:pos="969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755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5"/>
    <w:link w:val="7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5"/>
    <w:link w:val="7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5"/>
    <w:link w:val="74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5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5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5"/>
    <w:link w:val="753"/>
    <w:uiPriority w:val="10"/>
    <w:rPr>
      <w:sz w:val="48"/>
      <w:szCs w:val="48"/>
    </w:rPr>
  </w:style>
  <w:style w:type="paragraph" w:styleId="36">
    <w:name w:val="Subtitle"/>
    <w:basedOn w:val="739"/>
    <w:next w:val="7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5"/>
    <w:link w:val="36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5"/>
    <w:link w:val="748"/>
    <w:uiPriority w:val="99"/>
  </w:style>
  <w:style w:type="character" w:styleId="45">
    <w:name w:val="Footer Char"/>
    <w:basedOn w:val="745"/>
    <w:link w:val="752"/>
    <w:uiPriority w:val="99"/>
  </w:style>
  <w:style w:type="paragraph" w:styleId="46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2"/>
    <w:uiPriority w:val="99"/>
  </w:style>
  <w:style w:type="table" w:styleId="49">
    <w:name w:val="Table Grid Light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5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5"/>
    <w:uiPriority w:val="99"/>
    <w:semiHidden/>
    <w:unhideWhenUsed/>
    <w:rPr>
      <w:vertAlign w:val="superscript"/>
    </w:rPr>
  </w:style>
  <w:style w:type="paragraph" w:styleId="181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  <w:rPr>
      <w:sz w:val="24"/>
      <w:szCs w:val="24"/>
    </w:rPr>
  </w:style>
  <w:style w:type="paragraph" w:styleId="740">
    <w:name w:val="Heading 1"/>
    <w:basedOn w:val="739"/>
    <w:next w:val="739"/>
    <w:qFormat/>
    <w:pPr>
      <w:jc w:val="center"/>
      <w:keepNext/>
      <w:outlineLvl w:val="0"/>
    </w:pPr>
    <w:rPr>
      <w:b/>
      <w:bCs/>
      <w:sz w:val="28"/>
    </w:rPr>
  </w:style>
  <w:style w:type="paragraph" w:styleId="741">
    <w:name w:val="Heading 2"/>
    <w:basedOn w:val="739"/>
    <w:next w:val="739"/>
    <w:qFormat/>
    <w:pPr>
      <w:jc w:val="both"/>
      <w:keepNext/>
      <w:outlineLvl w:val="1"/>
    </w:pPr>
    <w:rPr>
      <w:sz w:val="28"/>
      <w:u w:val="single"/>
    </w:rPr>
  </w:style>
  <w:style w:type="paragraph" w:styleId="742">
    <w:name w:val="Heading 3"/>
    <w:basedOn w:val="739"/>
    <w:next w:val="739"/>
    <w:qFormat/>
    <w:pPr>
      <w:jc w:val="both"/>
      <w:keepNext/>
      <w:outlineLvl w:val="2"/>
    </w:pPr>
    <w:rPr>
      <w:sz w:val="28"/>
    </w:rPr>
  </w:style>
  <w:style w:type="paragraph" w:styleId="743">
    <w:name w:val="Heading 4"/>
    <w:basedOn w:val="739"/>
    <w:next w:val="739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744">
    <w:name w:val="Heading 5"/>
    <w:basedOn w:val="739"/>
    <w:next w:val="739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paragraph" w:styleId="748">
    <w:name w:val="Header"/>
    <w:basedOn w:val="739"/>
    <w:link w:val="774"/>
    <w:uiPriority w:val="99"/>
    <w:pPr>
      <w:tabs>
        <w:tab w:val="center" w:pos="4677" w:leader="none"/>
        <w:tab w:val="right" w:pos="9355" w:leader="none"/>
      </w:tabs>
    </w:pPr>
  </w:style>
  <w:style w:type="character" w:styleId="749">
    <w:name w:val="page number"/>
    <w:basedOn w:val="745"/>
  </w:style>
  <w:style w:type="paragraph" w:styleId="750">
    <w:name w:val="Body Text Indent"/>
    <w:basedOn w:val="739"/>
    <w:link w:val="771"/>
    <w:pPr>
      <w:ind w:left="57" w:firstLine="648"/>
      <w:jc w:val="both"/>
    </w:pPr>
    <w:rPr>
      <w:sz w:val="28"/>
    </w:rPr>
  </w:style>
  <w:style w:type="paragraph" w:styleId="751">
    <w:name w:val="Body Text"/>
    <w:basedOn w:val="739"/>
    <w:link w:val="776"/>
    <w:pPr>
      <w:jc w:val="both"/>
      <w:tabs>
        <w:tab w:val="left" w:pos="798" w:leader="none"/>
      </w:tabs>
    </w:pPr>
    <w:rPr>
      <w:sz w:val="28"/>
    </w:rPr>
  </w:style>
  <w:style w:type="paragraph" w:styleId="752">
    <w:name w:val="Footer"/>
    <w:basedOn w:val="739"/>
    <w:pPr>
      <w:tabs>
        <w:tab w:val="center" w:pos="4677" w:leader="none"/>
        <w:tab w:val="right" w:pos="9355" w:leader="none"/>
      </w:tabs>
    </w:pPr>
  </w:style>
  <w:style w:type="paragraph" w:styleId="753">
    <w:name w:val="Title"/>
    <w:basedOn w:val="739"/>
    <w:link w:val="777"/>
    <w:qFormat/>
    <w:pPr>
      <w:jc w:val="center"/>
      <w:spacing w:line="240" w:lineRule="atLeast"/>
    </w:pPr>
    <w:rPr>
      <w:b/>
      <w:sz w:val="32"/>
      <w:szCs w:val="32"/>
    </w:rPr>
  </w:style>
  <w:style w:type="paragraph" w:styleId="754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755" w:customStyle="1">
    <w:name w:val="Номер1"/>
    <w:basedOn w:val="756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756">
    <w:name w:val="List"/>
    <w:basedOn w:val="739"/>
    <w:pPr>
      <w:ind w:left="283" w:hanging="283"/>
    </w:pPr>
  </w:style>
  <w:style w:type="paragraph" w:styleId="757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758">
    <w:name w:val="Plain Text"/>
    <w:basedOn w:val="739"/>
    <w:link w:val="764"/>
    <w:rPr>
      <w:rFonts w:ascii="Courier New" w:hAnsi="Courier New" w:cs="Courier New"/>
      <w:sz w:val="20"/>
      <w:szCs w:val="20"/>
    </w:rPr>
  </w:style>
  <w:style w:type="paragraph" w:styleId="759">
    <w:name w:val="Body Text Indent 2"/>
    <w:basedOn w:val="739"/>
    <w:pPr>
      <w:ind w:left="-57" w:firstLine="912"/>
      <w:jc w:val="both"/>
      <w:widowControl w:val="off"/>
    </w:pPr>
    <w:rPr>
      <w:sz w:val="28"/>
      <w:szCs w:val="28"/>
    </w:rPr>
  </w:style>
  <w:style w:type="paragraph" w:styleId="760">
    <w:name w:val="Balloon Text"/>
    <w:basedOn w:val="739"/>
    <w:semiHidden/>
    <w:rPr>
      <w:rFonts w:ascii="Tahoma" w:hAnsi="Tahoma" w:cs="Tahoma"/>
      <w:sz w:val="16"/>
      <w:szCs w:val="16"/>
    </w:rPr>
  </w:style>
  <w:style w:type="paragraph" w:styleId="761">
    <w:name w:val="List 2"/>
    <w:basedOn w:val="739"/>
    <w:pPr>
      <w:ind w:left="566" w:hanging="283"/>
    </w:pPr>
  </w:style>
  <w:style w:type="paragraph" w:styleId="762" w:customStyle="1">
    <w:name w:val="обычный_"/>
    <w:basedOn w:val="739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763">
    <w:name w:val="Body Text 2"/>
    <w:basedOn w:val="739"/>
    <w:pPr>
      <w:spacing w:after="120" w:line="480" w:lineRule="auto"/>
    </w:pPr>
  </w:style>
  <w:style w:type="character" w:styleId="764" w:customStyle="1">
    <w:name w:val="Текст Знак"/>
    <w:basedOn w:val="745"/>
    <w:link w:val="758"/>
    <w:rPr>
      <w:rFonts w:ascii="Courier New" w:hAnsi="Courier New" w:cs="Courier New"/>
      <w:lang w:val="ru-RU" w:eastAsia="ru-RU" w:bidi="ar-SA"/>
    </w:rPr>
  </w:style>
  <w:style w:type="character" w:styleId="765" w:customStyle="1">
    <w:name w:val="Цветовое выделение"/>
    <w:rPr>
      <w:b/>
      <w:bCs/>
      <w:color w:val="26282f"/>
      <w:sz w:val="26"/>
      <w:szCs w:val="26"/>
    </w:rPr>
  </w:style>
  <w:style w:type="character" w:styleId="766" w:customStyle="1">
    <w:name w:val="Гипертекстовая ссылка"/>
    <w:basedOn w:val="765"/>
    <w:rPr>
      <w:b/>
      <w:bCs/>
      <w:color w:val="106bbe"/>
      <w:sz w:val="26"/>
      <w:szCs w:val="26"/>
    </w:rPr>
  </w:style>
  <w:style w:type="paragraph" w:styleId="767" w:customStyle="1">
    <w:name w:val="Комментарий"/>
    <w:basedOn w:val="739"/>
    <w:next w:val="739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768" w:customStyle="1">
    <w:name w:val="Информация об изменениях документа"/>
    <w:basedOn w:val="767"/>
    <w:next w:val="739"/>
    <w:pPr>
      <w:spacing w:before="0"/>
    </w:pPr>
    <w:rPr>
      <w:i/>
      <w:iCs/>
    </w:rPr>
  </w:style>
  <w:style w:type="paragraph" w:styleId="769" w:customStyle="1">
    <w:name w:val="Знак Знак Знак Знак"/>
    <w:basedOn w:val="739"/>
    <w:pPr>
      <w:jc w:val="both"/>
      <w:widowControl w:val="off"/>
    </w:pPr>
    <w:rPr>
      <w:sz w:val="28"/>
      <w:szCs w:val="28"/>
      <w:lang w:eastAsia="en-US"/>
    </w:rPr>
  </w:style>
  <w:style w:type="table" w:styleId="770">
    <w:name w:val="Table Grid"/>
    <w:basedOn w:val="74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1" w:customStyle="1">
    <w:name w:val="Основной текст с отступом Знак"/>
    <w:basedOn w:val="745"/>
    <w:link w:val="750"/>
    <w:rPr>
      <w:sz w:val="28"/>
      <w:szCs w:val="24"/>
    </w:rPr>
  </w:style>
  <w:style w:type="character" w:styleId="772">
    <w:name w:val="Hyperlink"/>
    <w:basedOn w:val="745"/>
    <w:rPr>
      <w:color w:val="0000ff"/>
      <w:u w:val="single"/>
    </w:rPr>
  </w:style>
  <w:style w:type="paragraph" w:styleId="773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774" w:customStyle="1">
    <w:name w:val="Верхний колонтитул Знак"/>
    <w:basedOn w:val="745"/>
    <w:link w:val="748"/>
    <w:uiPriority w:val="99"/>
    <w:rPr>
      <w:sz w:val="24"/>
      <w:szCs w:val="24"/>
    </w:rPr>
  </w:style>
  <w:style w:type="paragraph" w:styleId="775">
    <w:name w:val="List Paragraph"/>
    <w:basedOn w:val="739"/>
    <w:uiPriority w:val="34"/>
    <w:qFormat/>
    <w:pPr>
      <w:contextualSpacing/>
      <w:ind w:left="720"/>
    </w:pPr>
  </w:style>
  <w:style w:type="character" w:styleId="776" w:customStyle="1">
    <w:name w:val="Основной текст Знак"/>
    <w:basedOn w:val="745"/>
    <w:link w:val="751"/>
    <w:rPr>
      <w:sz w:val="28"/>
      <w:szCs w:val="24"/>
    </w:rPr>
  </w:style>
  <w:style w:type="character" w:styleId="777" w:customStyle="1">
    <w:name w:val="Название Знак"/>
    <w:basedOn w:val="745"/>
    <w:link w:val="753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9</cp:revision>
  <dcterms:created xsi:type="dcterms:W3CDTF">2025-09-15T11:26:00Z</dcterms:created>
  <dcterms:modified xsi:type="dcterms:W3CDTF">2025-09-30T07:37:02Z</dcterms:modified>
</cp:coreProperties>
</file>