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906"/>
      </w:tblGrid>
      <w:tr>
        <w:tblPrEx/>
        <w:trPr>
          <w:trHeight w:val="1848"/>
        </w:trPr>
        <w:tc>
          <w:tcPr>
            <w:tcW w:w="4927" w:type="dxa"/>
            <w:textDirection w:val="lrTb"/>
            <w:noWrap w:val="false"/>
          </w:tcPr>
          <w:p>
            <w:pPr>
              <w:pStyle w:val="874"/>
              <w:contextualSpacing/>
              <w:ind w:firstLine="0"/>
              <w:jc w:val="both"/>
              <w:spacing w:after="940"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ru-RU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contextualSpacing/>
              <w:jc w:val="both"/>
              <w:spacing w:line="240" w:lineRule="auto"/>
              <w:tabs>
                <w:tab w:val="left" w:pos="1560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71"/>
              <w:contextualSpacing/>
              <w:ind w:left="255" w:firstLine="10"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Приложение 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71"/>
              <w:contextualSpacing/>
              <w:ind w:left="255" w:firstLine="10"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71"/>
              <w:contextualSpacing/>
              <w:ind w:left="255" w:firstLine="10"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УТВЕРЖДЕНО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br/>
              <w:t xml:space="preserve">постановлением администрации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br/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871"/>
              <w:contextualSpacing/>
              <w:ind w:left="255" w:firstLine="10"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от 14.07.2025 г. № 892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874"/>
        <w:contextualSpacing/>
        <w:ind w:firstLine="0"/>
        <w:jc w:val="both"/>
        <w:spacing w:line="240" w:lineRule="auto"/>
        <w:rPr>
          <w:rFonts w:ascii="FreeSerif" w:hAnsi="FreeSerif" w:cs="FreeSerif"/>
          <w:b/>
          <w:bCs/>
        </w:rPr>
      </w:pPr>
      <w:r>
        <w:rPr>
          <w:rFonts w:ascii="FreeSerif" w:hAnsi="FreeSerif" w:eastAsia="FreeSerif" w:cs="FreeSerif"/>
          <w:b/>
          <w:bCs/>
        </w:rPr>
      </w:r>
      <w:r>
        <w:rPr>
          <w:rFonts w:ascii="FreeSerif" w:hAnsi="FreeSerif" w:cs="FreeSerif"/>
          <w:b/>
          <w:bCs/>
        </w:rPr>
      </w:r>
      <w:r>
        <w:rPr>
          <w:rFonts w:ascii="FreeSerif" w:hAnsi="FreeSerif" w:cs="FreeSerif"/>
          <w:b/>
          <w:bCs/>
        </w:rPr>
      </w:r>
    </w:p>
    <w:p>
      <w:pPr>
        <w:contextualSpacing/>
        <w:jc w:val="center"/>
        <w:spacing w:line="240" w:lineRule="auto"/>
        <w:widowControl w:val="off"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widowControl w:val="off"/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комиссиях по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проведению конкурса «Лучшее подворье Ленинградского муниципального округа»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708"/>
        <w:jc w:val="center"/>
        <w:spacing w:before="0" w:after="0" w:line="240" w:lineRule="auto"/>
        <w:widowControl/>
        <w:rPr>
          <w:rFonts w:ascii="FreeSerif" w:hAnsi="FreeSerif" w:cs="FreeSerif"/>
          <w:b/>
          <w:bCs/>
          <w:sz w:val="28"/>
          <w:szCs w:val="28"/>
          <w14:ligatures w14:val="none"/>
        </w:rPr>
        <w:outlineLvl w:val="0"/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  <w:highlight w:val="none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72"/>
        <w:numPr>
          <w:ilvl w:val="0"/>
          <w:numId w:val="1"/>
        </w:numPr>
        <w:contextualSpacing/>
        <w:jc w:val="center"/>
        <w:spacing w:before="0" w:after="0" w:line="240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  <w:outlineLvl w:val="0"/>
        <w:suppressLineNumbers w:val="0"/>
      </w:pPr>
      <w:r>
        <w:rPr>
          <w:rFonts w:ascii="FreeSerif" w:hAnsi="FreeSerif" w:eastAsia="FreeSerif" w:cs="FreeSerif"/>
        </w:rPr>
      </w:r>
      <w:bookmarkStart w:id="0" w:name="undefined"/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</w:r>
      <w:bookmarkStart w:id="0" w:name="undefined"/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</w:r>
      <w:bookmarkStart w:id="0" w:name="undefined"/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</w:r>
      <w:bookmarkStart w:id="0" w:name="undefined"/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</w:r>
      <w:bookmarkEnd w:id="0"/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  <w:t xml:space="preserve">Общие положения</w:t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contextualSpacing/>
        <w:ind w:left="1417" w:firstLine="0"/>
        <w:jc w:val="center"/>
        <w:spacing w:before="0" w:after="0" w:line="240" w:lineRule="auto"/>
        <w:widowControl/>
        <w:rPr>
          <w:rFonts w:ascii="FreeSerif" w:hAnsi="FreeSerif" w:cs="FreeSerif"/>
          <w:b/>
          <w:bCs/>
          <w:sz w:val="28"/>
          <w:szCs w:val="28"/>
          <w:highlight w:val="cyan"/>
          <w14:ligatures w14:val="none"/>
        </w:rPr>
        <w:outlineLvl w:val="0"/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  <w:highlight w:val="cyan"/>
          <w:lang w:eastAsia="en-US"/>
        </w:rPr>
      </w:r>
      <w:r>
        <w:rPr>
          <w:rFonts w:ascii="FreeSerif" w:hAnsi="FreeSerif" w:cs="FreeSerif"/>
          <w:b/>
          <w:bCs/>
          <w:sz w:val="28"/>
          <w:szCs w:val="28"/>
          <w:highlight w:val="cyan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:highlight w:val="cyan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whit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b w:val="0"/>
          <w:bCs w:val="0"/>
          <w:sz w:val="28"/>
          <w:szCs w:val="28"/>
          <w:highlight w:val="white"/>
          <w:lang w:eastAsia="en-US"/>
        </w:rPr>
        <w:t xml:space="preserve">1.1. Комиссии по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проведению конкурса «Лучшее подворье Ленинградского муниципального округа»</w:t>
      </w:r>
      <w:r>
        <w:rPr>
          <w:rFonts w:ascii="FreeSerif" w:hAnsi="FreeSerif" w:eastAsia="FreeSerif" w:cs="FreeSerif" w:eastAsiaTheme="minorHAnsi"/>
          <w:b w:val="0"/>
          <w:bCs w:val="0"/>
          <w:sz w:val="28"/>
          <w:szCs w:val="28"/>
          <w:highlight w:val="white"/>
          <w:lang w:eastAsia="en-US"/>
        </w:rPr>
        <w:t xml:space="preserve"> (далее-Комиссия)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 являются органом,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осуществляющим всестороннее, полное и объективное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обследование подворий и многоквартирных домов, расположенных на подведомственных территориях территориальных органов администрации </w:t>
      </w: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.</w:t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whit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1.2.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Комиссии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 в своей деятельности руководствуются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 Уставом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,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en-US"/>
        </w:rPr>
        <w:t xml:space="preserve">Положением о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проведении конкурса «Лучшее подворье Ленинградского муниципального округа»</w:t>
      </w:r>
      <w:r>
        <w:rPr>
          <w:rFonts w:ascii="FreeSerif" w:hAnsi="FreeSerif" w:eastAsia="FreeSerif" w:cs="FreeSerif" w:eastAsiaTheme="minorHAnsi"/>
          <w:sz w:val="28"/>
          <w:szCs w:val="28"/>
          <w:highlight w:val="none"/>
          <w:lang w:eastAsia="en-US"/>
        </w:rPr>
        <w:t xml:space="preserve">,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утвержденным решением Совета муниципального образования Ленинградский муниципальный округ Краснодарского края от 26 июня 2025 г. № 64 </w:t>
      </w:r>
      <w:r>
        <w:rPr>
          <w:rFonts w:ascii="FreeSerif" w:hAnsi="FreeSerif" w:eastAsia="FreeSerif" w:cs="FreeSerif" w:eastAsiaTheme="minorHAnsi"/>
          <w:sz w:val="28"/>
          <w:szCs w:val="28"/>
          <w:highlight w:val="none"/>
          <w:lang w:eastAsia="en-US"/>
        </w:rPr>
        <w:t xml:space="preserve">(далее – Положение по проведению конкурса),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а также настоящим Положением.</w:t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whit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1.3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.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Комиссии осуществляют свою деятельность на территории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 территориального управления администрации Ленинградского муниципального округа,</w:t>
      </w:r>
      <w:r>
        <w:rPr>
          <w:rFonts w:ascii="FreeSerif" w:hAnsi="FreeSerif" w:eastAsia="FreeSerif" w:cs="FreeSerif"/>
          <w:highlight w:val="white"/>
          <w:lang w:eastAsia="en-US"/>
        </w:rPr>
        <w:t xml:space="preserve">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Крыловского, Новоплатнировского, Новоуманского, Первомайского, Образцового,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Коржовского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, Восточного, Белохуторского, Куликовского, Уманского территориальных отделов администрации в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составе, утверждаемом постановлением администрации Ленинградского муниципального округа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(далее – территориальные отделы). </w:t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0"/>
          <w:szCs w:val="20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</w:r>
      <w:r>
        <w:rPr>
          <w:rFonts w:ascii="FreeSerif" w:hAnsi="FreeSerif" w:cs="FreeSerif"/>
          <w:sz w:val="20"/>
          <w:szCs w:val="20"/>
          <w14:ligatures w14:val="none"/>
        </w:rPr>
      </w:r>
      <w:r>
        <w:rPr>
          <w:rFonts w:ascii="FreeSerif" w:hAnsi="FreeSerif" w:cs="FreeSerif"/>
          <w:sz w:val="20"/>
          <w:szCs w:val="20"/>
          <w14:ligatures w14:val="none"/>
        </w:rPr>
      </w:r>
    </w:p>
    <w:p>
      <w:pPr>
        <w:contextualSpacing/>
        <w:ind w:firstLine="708"/>
        <w:jc w:val="center"/>
        <w:spacing w:before="0" w:after="0" w:line="240" w:lineRule="auto"/>
        <w:widowControl/>
        <w:rPr>
          <w:rFonts w:ascii="FreeSerif" w:hAnsi="FreeSerif" w:cs="FreeSerif"/>
          <w:b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</w:r>
      <w:r>
        <w:rPr>
          <w:rFonts w:ascii="FreeSerif" w:hAnsi="FreeSerif" w:eastAsia="FreeSerif" w:cs="FreeSerif" w:eastAsiaTheme="minorHAnsi"/>
          <w:b/>
          <w:bCs/>
          <w:sz w:val="28"/>
          <w:szCs w:val="28"/>
          <w:lang w:eastAsia="en-US"/>
        </w:rPr>
        <w:t xml:space="preserve">2. Функции Комиссий</w:t>
      </w:r>
      <w:r>
        <w:rPr>
          <w:rFonts w:ascii="FreeSerif" w:hAnsi="FreeSerif" w:cs="FreeSerif"/>
          <w:b/>
          <w:sz w:val="28"/>
          <w:szCs w:val="28"/>
          <w14:ligatures w14:val="none"/>
        </w:rPr>
      </w:r>
      <w:r>
        <w:rPr>
          <w:rFonts w:ascii="FreeSerif" w:hAnsi="FreeSerif" w:cs="FreeSerif"/>
          <w:b/>
          <w:sz w:val="28"/>
          <w:szCs w:val="28"/>
          <w14:ligatures w14:val="none"/>
        </w:rPr>
      </w:r>
    </w:p>
    <w:p>
      <w:pPr>
        <w:contextualSpacing/>
        <w:ind w:firstLine="0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  <w:lang w:eastAsia="en-US"/>
          <w14:ligatures w14:val="none"/>
        </w:rPr>
        <w:t xml:space="preserve">          Комиссии: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1) р</w:t>
      </w: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ас</w:t>
      </w: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сматривают заявления граждан, проживающих на подведомственных территориях территориальных органов администрации Ленинградского муниципального округа, владеющих земельными участками или занимающиеся содержанием придомовых территорий многоквартирных домов и </w:t>
      </w: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обследуют подворья указанные в заявлениях, поступивших в территориальные отделы для участия в конкурсе</w:t>
      </w:r>
      <w:r>
        <w:rPr>
          <w:rFonts w:ascii="FreeSerif" w:hAnsi="FreeSerif" w:eastAsia="FreeSerif" w:cs="FreeSerif"/>
          <w:sz w:val="28"/>
          <w:szCs w:val="28"/>
          <w:lang w:eastAsia="en-US"/>
          <w14:ligatures w14:val="none"/>
        </w:rPr>
        <w:t xml:space="preserve">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2) определяют победителя согласно критериям оценки</w:t>
      </w:r>
      <w:r>
        <w:rPr>
          <w:rFonts w:ascii="FreeSerif" w:hAnsi="FreeSerif" w:eastAsia="FreeSerif" w:cs="FreeSerif"/>
          <w:sz w:val="28"/>
          <w:szCs w:val="28"/>
          <w:lang w:eastAsia="en-US"/>
          <w14:ligatures w14:val="none"/>
        </w:rPr>
        <w:t xml:space="preserve"> установленным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en-US"/>
        </w:rPr>
        <w:t xml:space="preserve">Положением по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проведению конкурса;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3) составляют победителю заявку на участие во втором этапе конкурса, для направления в Совет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non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  <w:highlight w:val="none"/>
          <w:lang w:eastAsia="en-US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center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non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b/>
          <w:bCs/>
          <w:sz w:val="28"/>
          <w:szCs w:val="28"/>
          <w:highlight w:val="none"/>
          <w:lang w:eastAsia="en-US"/>
        </w:rPr>
        <w:t xml:space="preserve">3</w:t>
      </w:r>
      <w:r>
        <w:rPr>
          <w:rFonts w:ascii="FreeSerif" w:hAnsi="FreeSerif" w:eastAsia="FreeSerif" w:cs="FreeSerif" w:eastAsiaTheme="minorHAnsi"/>
          <w:b/>
          <w:bCs/>
          <w:sz w:val="28"/>
          <w:szCs w:val="28"/>
          <w:highlight w:val="white"/>
          <w:lang w:eastAsia="en-US"/>
        </w:rPr>
        <w:t xml:space="preserve">. Состав Комиссий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center"/>
        <w:spacing w:before="0" w:after="0" w:line="240" w:lineRule="auto"/>
        <w:widowControl/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white"/>
          <w14:ligatures w14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highlight w:val="none"/>
          <w:lang w:eastAsia="en-US"/>
        </w:rPr>
        <w:t xml:space="preserve">3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.1. Комиссии фор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мируются в составе председателя Комиссии (начальник территориального органа администрации) и членов Комиссии (представители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общественной организации «</w:t>
      </w:r>
      <w:r>
        <w:rPr>
          <w:rFonts w:ascii="FreeSerif" w:hAnsi="FreeSerif" w:eastAsia="FreeSerif" w:cs="FreeSerif"/>
          <w:color w:val="303133"/>
          <w:sz w:val="28"/>
          <w:szCs w:val="28"/>
          <w:highlight w:val="white"/>
        </w:rPr>
        <w:t xml:space="preserve">Территориальное общественное самоуправление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»). П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ри проведении первого этапа конкурса 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могут привлекаться представители </w:t>
      </w:r>
      <w:r>
        <w:rPr>
          <w:rFonts w:ascii="FreeSerif" w:hAnsi="FreeSerif" w:eastAsia="FreeSerif" w:cs="FreeSerif" w:eastAsiaTheme="minorHAnsi"/>
          <w:sz w:val="28"/>
          <w:szCs w:val="28"/>
          <w:highlight w:val="white"/>
          <w:lang w:eastAsia="en-US"/>
        </w:rPr>
        <w:t xml:space="preserve">Ленинградской окружной организации общественной организации ветеранов Краснодарского края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.</w:t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  <w:r>
        <w:rPr>
          <w:rFonts w:ascii="FreeSerif" w:hAnsi="FreeSerif" w:cs="FreeSerif"/>
          <w:sz w:val="28"/>
          <w:szCs w:val="28"/>
          <w:highlight w:val="white"/>
          <w14:ligatures w14:val="none"/>
        </w:rPr>
      </w:r>
    </w:p>
    <w:p>
      <w:pPr>
        <w:contextualSpacing/>
        <w:ind w:firstLine="0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highlight w:val="none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Первый заместитель главы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Ленинградского муниципального округа</w:t>
      </w:r>
      <w:r>
        <w:rPr>
          <w:rFonts w:ascii="FreeSerif" w:hAnsi="FreeSerif" w:eastAsia="FreeSerif" w:cs="FreeSerif"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ascii="FreeSerif" w:hAnsi="FreeSerif" w:eastAsia="FreeSerif" w:cs="FreeSerif" w:eastAsiaTheme="minorHAnsi"/>
          <w:sz w:val="28"/>
          <w:szCs w:val="28"/>
        </w:rPr>
        <w:t xml:space="preserve">В.Н. Шерстобитов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left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 w:eastAsiaTheme="minorHAnsi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59" w:lineRule="auto"/>
        <w:widowControl/>
        <w:rPr>
          <w:rFonts w:ascii="Times New Roman" w:hAnsi="Times New Roman" w:cs="Times New Roman" w:eastAsiaTheme="minorHAnsi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Основной текст1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2025-07-15T14:16:35Z</dcterms:modified>
</cp:coreProperties>
</file>