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charts/chart6.xml" ContentType="application/vnd.openxmlformats-officedocument.drawingml.chart+xml"/>
  <Override PartName="/word/charts/chart5.xml" ContentType="application/vnd.openxmlformats-officedocument.drawingml.chart+xml"/>
  <Override PartName="/word/charts/chart2.xml" ContentType="application/vnd.openxmlformats-officedocument.drawingml.chart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hart1.xml" ContentType="application/vnd.openxmlformats-officedocument.drawingml.chart+xml"/>
  <Override PartName="/word/charts/chart3.xml" ContentType="application/vnd.openxmlformats-officedocument.drawingml.chart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harts/chart4.xml" ContentType="application/vnd.openxmlformats-officedocument.drawingml.chart+xml"/>
  <Override PartName="/word/settings.xml" ContentType="application/vnd.openxmlformats-officedocument.wordprocessingml.setting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Совет по противодействию коррупции в сферах деятельности органов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Ленинградский район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Совета по противодействию коррупции в сферах деятельности органов местного самоуправления муниципального образования Ленинградский район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tabs>
          <w:tab w:val="left" w:pos="694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апреля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  <w:t xml:space="preserve">ст. Ленинградская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 – администрация, ка</w:t>
      </w:r>
      <w:r>
        <w:rPr>
          <w:rFonts w:ascii="Times New Roman" w:hAnsi="Times New Roman" w:cs="Times New Roman"/>
          <w:sz w:val="28"/>
          <w:szCs w:val="28"/>
        </w:rPr>
        <w:t xml:space="preserve">б.</w:t>
      </w:r>
      <w:r>
        <w:rPr>
          <w:rFonts w:ascii="Times New Roman" w:hAnsi="Times New Roman" w:cs="Times New Roman"/>
          <w:sz w:val="28"/>
          <w:szCs w:val="28"/>
        </w:rPr>
        <w:t xml:space="preserve"> №19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W w:w="15876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054"/>
        <w:gridCol w:w="6411"/>
        <w:gridCol w:w="6411"/>
      </w:tblGrid>
      <w:tr>
        <w:tblPrEx/>
        <w:trPr>
          <w:trHeight w:val="56"/>
        </w:trPr>
        <w:tc>
          <w:tcPr>
            <w:shd w:val="clear" w:color="ffffff" w:fill="ffffff"/>
            <w:tcW w:w="3054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Шерстобитов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  <w:t xml:space="preserve">Виталий Николаевич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ffffff" w:fill="ffffff"/>
            <w:tcW w:w="6411" w:type="dxa"/>
            <w:textDirection w:val="lrTb"/>
            <w:noWrap w:val="false"/>
          </w:tcPr>
          <w:p>
            <w:pPr>
              <w:ind w:firstLine="5"/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исполняющий обязанности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лав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ы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образования Ленинградский район, заместитель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председател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Совета;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ind w:firstLine="5"/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ffffff" w:fill="ffffff"/>
            <w:tcW w:w="6411" w:type="dxa"/>
            <w:textDirection w:val="lrTb"/>
            <w:noWrap w:val="false"/>
          </w:tcPr>
          <w:p>
            <w:pPr>
              <w:ind w:firstLine="5"/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56"/>
        </w:trPr>
        <w:tc>
          <w:tcPr>
            <w:shd w:val="clear" w:color="ffffff" w:fill="ffffff"/>
            <w:tcW w:w="3054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Головатский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Денис Леонидович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Мазурова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Юлия Иван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овна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  <w:t xml:space="preserve">Мальченко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  <w:t xml:space="preserve">Вадим Владимирович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Бараник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Виктор Викторович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Черныш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Юлиана Игоревна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Эпп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Сергей Григорьевич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Деркач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Олег Анатольевич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Запорожец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Валерий Викторович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Коровайный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Максим Александрович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Плугатырев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  <w:t xml:space="preserve">Денис Вячеславович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Коваленко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Анжелика Геннадьевна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ffffff" w:fill="ffffff"/>
            <w:tcW w:w="6411" w:type="dxa"/>
            <w:textDirection w:val="lrTb"/>
            <w:noWrap w:val="false"/>
          </w:tcPr>
          <w:p>
            <w:pPr>
              <w:ind w:hanging="5"/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- ведущий специалист юридического отдела администрации муниципального образования, секретарь Совета;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ind w:hanging="5"/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ind w:firstLine="5"/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- заместител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главы муниципального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образования Ленинградский район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r>
          </w:p>
          <w:p>
            <w:pPr>
              <w:ind w:firstLine="5"/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</w:r>
          </w:p>
          <w:p>
            <w:pPr>
              <w:ind w:firstLine="5"/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- заместител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главы муниципального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образования Ленинградский район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</w:r>
          </w:p>
          <w:p>
            <w:pPr>
              <w:ind w:hanging="5"/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ind w:firstLine="5"/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- глава Коржовского сельского поселения Ленинградского района;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ind w:firstLine="5"/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- глав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Новоуманского сельского поселения Ленинградского района;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</w:r>
          </w:p>
          <w:p>
            <w:pPr>
              <w:ind w:firstLine="5"/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ind w:firstLine="5"/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- глава Новоплатнировского сельского поселения Ленинградского района;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</w:r>
          </w:p>
          <w:p>
            <w:pPr>
              <w:ind w:firstLine="5"/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ind w:firstLine="5"/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- глава Крыловского сельского поселения Ленинградского района;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</w:r>
          </w:p>
          <w:p>
            <w:pPr>
              <w:ind w:hanging="10"/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ind w:firstLine="5"/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- глава Восточного сельского поселения Ленинградского района;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ind w:firstLine="5"/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- глава Первомайского сельского поселения Ленинградского района;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</w:r>
          </w:p>
          <w:p>
            <w:pPr>
              <w:ind w:hanging="10"/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- глава Куликовского сельского поселения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Ленинградского района;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ind w:firstLine="5"/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- главный редактор газеты «Степные зори»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ind w:firstLine="5"/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(по согласованию);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</w:r>
          </w:p>
          <w:p>
            <w:pPr>
              <w:ind w:firstLine="5"/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ffffff" w:fill="ffffff"/>
            <w:tcW w:w="6411" w:type="dxa"/>
            <w:textDirection w:val="lrTb"/>
            <w:noWrap w:val="false"/>
          </w:tcPr>
          <w:p>
            <w:pPr>
              <w:ind w:firstLine="5"/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56"/>
        </w:trPr>
        <w:tc>
          <w:tcPr>
            <w:shd w:val="clear" w:color="ffffff" w:fill="ffffff"/>
            <w:tcW w:w="3054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Офицерова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Екатерина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Юрьевна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ffffff" w:fill="ffffff"/>
            <w:tcW w:w="6411" w:type="dxa"/>
            <w:textDirection w:val="lrTb"/>
            <w:noWrap w:val="false"/>
          </w:tcPr>
          <w:p>
            <w:pPr>
              <w:ind w:firstLine="5"/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- начальник юридического отдела администрации муниципального образования;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ind w:firstLine="5"/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ffffff" w:fill="ffffff"/>
            <w:tcW w:w="6411" w:type="dxa"/>
            <w:textDirection w:val="lrTb"/>
            <w:noWrap w:val="false"/>
          </w:tcPr>
          <w:p>
            <w:pPr>
              <w:ind w:firstLine="5"/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56"/>
        </w:trPr>
        <w:tc>
          <w:tcPr>
            <w:shd w:val="clear" w:color="ffffff" w:fill="ffffff"/>
            <w:tcW w:w="3054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Цымбал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Ольга Викторовна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Шевченко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Татьяна Леонидовна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ffffff" w:fill="ffffff"/>
            <w:tcW w:w="6411" w:type="dxa"/>
            <w:textDirection w:val="lrTb"/>
            <w:noWrap w:val="false"/>
          </w:tcPr>
          <w:p>
            <w:pPr>
              <w:ind w:firstLine="5"/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- глава Образцового сельского поселения Ленинградского района;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widowControl w:val="off"/>
              <w:tabs>
                <w:tab w:val="left" w:pos="7513" w:leader="none"/>
              </w:tabs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widowControl w:val="off"/>
              <w:tabs>
                <w:tab w:val="left" w:pos="7513" w:leader="none"/>
              </w:tabs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- глава Западного сельского поселения Ленинградского района;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widowControl w:val="off"/>
              <w:tabs>
                <w:tab w:val="left" w:pos="7513" w:leader="none"/>
              </w:tabs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</w:r>
          </w:p>
          <w:p>
            <w:pPr>
              <w:ind w:firstLine="5"/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</w:r>
          </w:p>
        </w:tc>
        <w:tc>
          <w:tcPr>
            <w:shd w:val="clear" w:color="ffffff" w:fill="ffffff"/>
            <w:tcW w:w="6411" w:type="dxa"/>
            <w:textDirection w:val="lrTb"/>
            <w:noWrap w:val="false"/>
          </w:tcPr>
          <w:p>
            <w:pPr>
              <w:ind w:firstLine="5"/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56"/>
        </w:trPr>
        <w:tc>
          <w:tcPr>
            <w:shd w:val="clear" w:color="ffffff" w:fill="ffffff"/>
            <w:tcW w:w="3054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Скоробогаченко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Иван Сергеевич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ffffff" w:fill="ffffff"/>
            <w:tcW w:w="6411" w:type="dxa"/>
            <w:textDirection w:val="lrTb"/>
            <w:noWrap w:val="false"/>
          </w:tcPr>
          <w:p>
            <w:pPr>
              <w:ind w:firstLine="5"/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- глава Ленинградского сельского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поселения Ленинградского района.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ffffff" w:fill="ffffff"/>
            <w:tcW w:w="6411" w:type="dxa"/>
            <w:textDirection w:val="lrTb"/>
            <w:noWrap w:val="false"/>
          </w:tcPr>
          <w:p>
            <w:pPr>
              <w:ind w:firstLine="5"/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56"/>
        </w:trPr>
        <w:tc>
          <w:tcPr>
            <w:shd w:val="clear" w:color="ffffff" w:fill="ffffff"/>
            <w:tcW w:w="3054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ffffff" w:fill="ffffff"/>
            <w:tcW w:w="6411" w:type="dxa"/>
            <w:textDirection w:val="lrTb"/>
            <w:noWrap w:val="false"/>
          </w:tcPr>
          <w:p>
            <w:pPr>
              <w:ind w:firstLine="5"/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ffffff" w:fill="ffffff"/>
            <w:tcW w:w="6411" w:type="dxa"/>
            <w:textDirection w:val="lrTb"/>
            <w:noWrap w:val="false"/>
          </w:tcPr>
          <w:p>
            <w:pPr>
              <w:ind w:firstLine="5"/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Повестка дня: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numPr>
          <w:ilvl w:val="0"/>
          <w:numId w:val="7"/>
        </w:numPr>
        <w:jc w:val="both"/>
        <w:tabs>
          <w:tab w:val="left" w:pos="529" w:leader="none"/>
          <w:tab w:val="left" w:pos="692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восприятии уровня коррупции в администрации муниципального образования Ленинградский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её отраслевых </w:t>
      </w:r>
      <w:r>
        <w:rPr>
          <w:rFonts w:ascii="Times New Roman" w:hAnsi="Times New Roman" w:cs="Times New Roman"/>
          <w:sz w:val="28"/>
          <w:szCs w:val="28"/>
        </w:rPr>
        <w:t xml:space="preserve">(функциональных) </w:t>
      </w:r>
      <w:r>
        <w:rPr>
          <w:rFonts w:ascii="Times New Roman" w:hAnsi="Times New Roman" w:cs="Times New Roman"/>
          <w:sz w:val="28"/>
          <w:szCs w:val="28"/>
        </w:rPr>
        <w:t xml:space="preserve">органах с правами юридического лица со стороны общества и бизнеса в 20</w:t>
      </w:r>
      <w:r>
        <w:rPr>
          <w:rFonts w:ascii="Times New Roman" w:hAnsi="Times New Roman" w:cs="Times New Roman"/>
          <w:sz w:val="28"/>
          <w:szCs w:val="28"/>
        </w:rPr>
        <w:t xml:space="preserve">22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– докладчик </w:t>
      </w:r>
      <w:r>
        <w:rPr>
          <w:rFonts w:ascii="Times New Roman" w:hAnsi="Times New Roman" w:cs="Times New Roman"/>
          <w:sz w:val="28"/>
          <w:szCs w:val="28"/>
        </w:rPr>
        <w:t xml:space="preserve">Шерстобитов В.Н.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numPr>
          <w:ilvl w:val="0"/>
          <w:numId w:val="7"/>
        </w:numPr>
        <w:jc w:val="both"/>
        <w:tabs>
          <w:tab w:val="left" w:pos="529" w:leader="none"/>
          <w:tab w:val="left" w:pos="692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мониторинге коррупционных рисков в администрации муниципального образования Ленинградский район в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году – докладчик </w:t>
      </w:r>
      <w:r>
        <w:rPr>
          <w:rFonts w:ascii="Times New Roman" w:hAnsi="Times New Roman" w:cs="Times New Roman"/>
          <w:sz w:val="28"/>
          <w:szCs w:val="28"/>
        </w:rPr>
        <w:t xml:space="preserve">Офицерова Е.Ю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Рассмотрения вопросов повестки дня: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67"/>
        <w:jc w:val="both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 вопрос: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восприятии уровня коррупции в администрации муниципального образования Ленинградский район и её отраслевых</w:t>
      </w:r>
      <w:r>
        <w:rPr>
          <w:sz w:val="28"/>
          <w:szCs w:val="28"/>
        </w:rPr>
        <w:t xml:space="preserve"> (функциональных)</w:t>
      </w:r>
      <w:r>
        <w:rPr>
          <w:sz w:val="28"/>
          <w:szCs w:val="28"/>
        </w:rPr>
        <w:t xml:space="preserve"> органах с правами юридического лица со стороны общества и бизнеса в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году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right="-5" w:firstLine="851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ла</w:t>
      </w:r>
      <w:r>
        <w:rPr>
          <w:sz w:val="28"/>
          <w:szCs w:val="28"/>
        </w:rPr>
        <w:t xml:space="preserve">ном противодействия коррупции в </w:t>
      </w:r>
      <w:r>
        <w:rPr>
          <w:sz w:val="28"/>
          <w:szCs w:val="28"/>
        </w:rPr>
        <w:t xml:space="preserve">органах местного самоуправления муниципального образования</w:t>
      </w:r>
      <w:r>
        <w:rPr>
          <w:sz w:val="28"/>
          <w:szCs w:val="28"/>
        </w:rPr>
        <w:t xml:space="preserve"> Ленинградский район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</w:t>
      </w:r>
      <w: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 мониторинг восприятия уровня коррупции со стороны общества и бизнеса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right="-5" w:firstLine="851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Юридическим отделом администрации муниципального образования Ленинградский район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в период с </w:t>
      </w:r>
      <w:r>
        <w:rPr>
          <w:sz w:val="28"/>
          <w:szCs w:val="28"/>
        </w:rPr>
        <w:t xml:space="preserve">25</w:t>
      </w:r>
      <w:r>
        <w:rPr>
          <w:sz w:val="28"/>
          <w:szCs w:val="28"/>
        </w:rPr>
        <w:t xml:space="preserve"> января</w:t>
      </w:r>
      <w:r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26 </w:t>
      </w:r>
      <w:r>
        <w:rPr>
          <w:sz w:val="28"/>
          <w:szCs w:val="28"/>
        </w:rPr>
        <w:t xml:space="preserve">февраля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проведено социологическое исследование восприятия уровня коррупции в органах местного самоуправления муниципального образования Ленинградский район со стороны общества и бизнеса.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right="-5" w:firstLine="851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Целью исследования являлась оценка различными социальными слоями населения, постоянно проживающего на территории муниципального образования Ленинградский район, уровня коррупции в исполнительных органах государственной и муниципальной власти.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right="-5" w:firstLine="851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ходе социологического исследования было опрошено 2</w:t>
      </w:r>
      <w:r>
        <w:rPr>
          <w:sz w:val="28"/>
          <w:szCs w:val="28"/>
        </w:rPr>
        <w:t xml:space="preserve">00</w:t>
      </w:r>
      <w:r>
        <w:rPr>
          <w:sz w:val="28"/>
          <w:szCs w:val="28"/>
        </w:rPr>
        <w:t xml:space="preserve"> физических лиц, проживающих на территории муниципального образования Ленинградский район в возрасте от 18 лет и старше, и 4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 физических лиц, занимающих руководящие должности в коммерческих организациях, зарегистрированных на территории муниципального образовани</w:t>
      </w:r>
      <w:r>
        <w:rPr>
          <w:sz w:val="28"/>
          <w:szCs w:val="28"/>
        </w:rPr>
        <w:t xml:space="preserve">я Ленинградский район, либо лиц</w:t>
      </w:r>
      <w:r>
        <w:rPr>
          <w:sz w:val="28"/>
          <w:szCs w:val="28"/>
        </w:rPr>
        <w:t xml:space="preserve">, осуществляющи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коммерческую деятельность в качестве индивидуальных предпринимателей.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right="-5" w:firstLine="851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Сбор </w:t>
      </w:r>
      <w:r>
        <w:rPr>
          <w:sz w:val="28"/>
          <w:szCs w:val="28"/>
        </w:rPr>
        <w:t xml:space="preserve">оценочной информации производился путем анкетирования граждан в общественных местах, а также на предприятиях и в организациях Ленинградского, Крыловского, Новоплатнировского, Уманского, Новомуманского, Куликовского, Восточного, Образцового, Первомайского, </w:t>
      </w:r>
      <w:r>
        <w:rPr>
          <w:sz w:val="28"/>
          <w:szCs w:val="28"/>
        </w:rPr>
        <w:t xml:space="preserve">Белохуторского, Коржовского и Западного сельских поселений Ленинградского района.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right="-5" w:firstLine="851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Среди физических лиц, проживающих на территории муниципального образования Ленинградский район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в возрасте от 18 лет и старше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б</w:t>
      </w:r>
      <w:r>
        <w:rPr>
          <w:sz w:val="28"/>
          <w:szCs w:val="28"/>
        </w:rPr>
        <w:t xml:space="preserve">ыло опрошено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00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человек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социологическом исследовании приняли участие </w:t>
      </w:r>
      <w:r>
        <w:rPr>
          <w:sz w:val="28"/>
          <w:szCs w:val="28"/>
        </w:rPr>
        <w:t xml:space="preserve">101</w:t>
      </w:r>
      <w:r>
        <w:rPr>
          <w:sz w:val="28"/>
          <w:szCs w:val="28"/>
        </w:rPr>
        <w:t xml:space="preserve"> мужчина и </w:t>
      </w:r>
      <w:r>
        <w:rPr>
          <w:sz w:val="28"/>
          <w:szCs w:val="28"/>
        </w:rPr>
        <w:t xml:space="preserve">99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женщин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Возрастной </w:t>
      </w:r>
      <w:r>
        <w:rPr>
          <w:sz w:val="28"/>
          <w:szCs w:val="28"/>
        </w:rPr>
        <w:t xml:space="preserve">состав</w:t>
      </w:r>
      <w:r>
        <w:rPr>
          <w:sz w:val="28"/>
          <w:szCs w:val="28"/>
        </w:rPr>
        <w:t xml:space="preserve"> опрошенных приведён в диаграмме.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right="-5"/>
        <w:jc w:val="both"/>
        <w:spacing w:before="0" w:beforeAutospacing="0" w:after="0" w:afterAutospacing="0"/>
        <w:tabs>
          <w:tab w:val="right" w:pos="9644" w:leader="none"/>
        </w:tabs>
        <w:rPr>
          <w:sz w:val="20"/>
          <w:szCs w:val="20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2176145</wp:posOffset>
                </wp:positionV>
                <wp:extent cx="1095375" cy="1403985"/>
                <wp:effectExtent l="0" t="0" r="0" b="0"/>
                <wp:wrapNone/>
                <wp:docPr id="1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4" cy="140398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Возраст</w:t>
                            </w:r>
                            <w:r>
                              <w:rPr>
                                <w:b/>
                              </w:rPr>
                              <w:t xml:space="preserve">:</w:t>
                            </w:r>
                            <w:r>
                              <w:rPr>
                                <w:b/>
                              </w:rPr>
                            </w:r>
                            <w:r>
                              <w:rPr>
                                <w:b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shape 0" o:spid="_x0000_s0" o:spt="202" type="#_x0000_t202" style="position:absolute;z-index:251659264;o:allowoverlap:true;o:allowincell:true;mso-position-horizontal-relative:text;margin-left:7.10pt;mso-position-horizontal:absolute;mso-position-vertical-relative:text;margin-top:171.35pt;mso-position-vertical:absolute;width:86.25pt;height:110.55pt;mso-wrap-distance-left:9.00pt;mso-wrap-distance-top:0.00pt;mso-wrap-distance-right:9.00pt;mso-wrap-distance-bottom:0.00pt;v-text-anchor:top;visibility:visible;" fillcolor="#FFFFFF" stroked="f" strokeweight="0.75pt">
                <v:fill opacity="100f"/>
                <v:textbox inset="0,0,0,0">
                  <w:txbxContent>
                    <w:p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Возраст</w:t>
                      </w:r>
                      <w:r>
                        <w:rPr>
                          <w:b/>
                        </w:rPr>
                        <w:t xml:space="preserve">:</w:t>
                      </w:r>
                      <w:r>
                        <w:rPr>
                          <w:b/>
                        </w:rPr>
                      </w:r>
                      <w:r>
                        <w:rPr>
                          <w:b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655320</wp:posOffset>
                </wp:positionV>
                <wp:extent cx="1866900" cy="1403985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899" cy="140398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</w:rPr>
                              <w:t xml:space="preserve">Из 2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 xml:space="preserve">00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 xml:space="preserve"> опрошенных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:</w:t>
                            </w:r>
                            <w:r>
                              <w:rPr>
                                <w:b/>
                                <w:sz w:val="28"/>
                              </w:rPr>
                            </w:r>
                            <w:r>
                              <w:rPr>
                                <w:b/>
                                <w:sz w:val="28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shape 1" o:spid="_x0000_s1" o:spt="202" type="#_x0000_t202" style="position:absolute;z-index:251675648;o:allowoverlap:true;o:allowincell:true;mso-position-horizontal-relative:text;margin-left:5.60pt;mso-position-horizontal:absolute;mso-position-vertical-relative:text;margin-top:51.60pt;mso-position-vertical:absolute;width:147.00pt;height:110.55pt;mso-wrap-distance-left:9.00pt;mso-wrap-distance-top:0.00pt;mso-wrap-distance-right:9.00pt;mso-wrap-distance-bottom:0.00pt;v-text-anchor:top;visibility:visible;" fillcolor="#FFFFFF" stroked="f" strokeweight="0.75pt">
                <v:fill opacity="100f"/>
                <v:textbox inset="0,0,0,0">
                  <w:txbxContent>
                    <w:p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i/>
                          <w:sz w:val="28"/>
                        </w:rPr>
                        <w:t xml:space="preserve">Из 2</w:t>
                      </w:r>
                      <w:r>
                        <w:rPr>
                          <w:b/>
                          <w:i/>
                          <w:sz w:val="28"/>
                        </w:rPr>
                        <w:t xml:space="preserve">00</w:t>
                      </w:r>
                      <w:r>
                        <w:rPr>
                          <w:b/>
                          <w:i/>
                          <w:sz w:val="28"/>
                        </w:rPr>
                        <w:t xml:space="preserve"> опрошенных</w:t>
                      </w:r>
                      <w:r>
                        <w:rPr>
                          <w:b/>
                          <w:sz w:val="28"/>
                        </w:rPr>
                        <w:t xml:space="preserve">:</w:t>
                      </w:r>
                      <w:r>
                        <w:rPr>
                          <w:b/>
                          <w:sz w:val="28"/>
                        </w:rPr>
                      </w:r>
                      <w:r>
                        <w:rPr>
                          <w:b/>
                          <w:sz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  <w:szCs w:val="20"/>
        </w:rPr>
        <w:drawing>
          <wp:inline distT="0" distB="0" distL="0" distR="0">
            <wp:extent cx="6019800" cy="2447925"/>
            <wp:effectExtent l="0" t="0" r="0" b="9525"/>
            <wp:docPr id="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sz w:val="20"/>
          <w:szCs w:val="20"/>
        </w:rPr>
        <w:tab/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74"/>
        <w:ind w:right="-5" w:firstLine="851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ходе социологических исследований получены следующие данные, характеризующие восприятие уровня коррупции в муниципальном образовании </w:t>
      </w:r>
      <w:r>
        <w:rPr>
          <w:sz w:val="28"/>
          <w:szCs w:val="28"/>
        </w:rPr>
        <w:t xml:space="preserve">Ленинградский</w:t>
      </w:r>
      <w:r>
        <w:rPr>
          <w:sz w:val="28"/>
          <w:szCs w:val="28"/>
        </w:rPr>
        <w:t xml:space="preserve"> район: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right="-5" w:firstLine="851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На вопрос анкеты «Приходилось ли Вам давать взятку</w:t>
      </w:r>
      <w:r>
        <w:rPr>
          <w:sz w:val="28"/>
          <w:szCs w:val="28"/>
        </w:rPr>
        <w:t xml:space="preserve"> (когда-либо)</w:t>
      </w:r>
      <w:r>
        <w:rPr>
          <w:sz w:val="28"/>
          <w:szCs w:val="28"/>
        </w:rPr>
        <w:t xml:space="preserve"> должностным лицам?» -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90</w:t>
      </w:r>
      <w:r>
        <w:rPr>
          <w:sz w:val="28"/>
          <w:szCs w:val="28"/>
        </w:rPr>
        <w:t xml:space="preserve"> опрошенных из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00</w:t>
      </w:r>
      <w:r>
        <w:rPr>
          <w:sz w:val="28"/>
          <w:szCs w:val="28"/>
        </w:rPr>
        <w:t xml:space="preserve"> ответили, что не приходилось. Доля респондентов, заявивших о даче взятки, составила 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% или 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 человек из 2</w:t>
      </w:r>
      <w:r>
        <w:rPr>
          <w:sz w:val="28"/>
          <w:szCs w:val="28"/>
        </w:rPr>
        <w:t xml:space="preserve">00</w:t>
      </w:r>
      <w:r>
        <w:rPr>
          <w:sz w:val="28"/>
          <w:szCs w:val="28"/>
        </w:rPr>
        <w:t xml:space="preserve">, что ниже на 4 % по итогам мониторинга  2022 года.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right="-5" w:firstLine="851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Из числа опрошенных, заявивших о даче взятки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6</w:t>
      </w:r>
      <w:r>
        <w:rPr>
          <w:sz w:val="28"/>
          <w:szCs w:val="28"/>
        </w:rPr>
        <w:t xml:space="preserve"> жител</w:t>
      </w:r>
      <w:r>
        <w:rPr>
          <w:sz w:val="28"/>
          <w:szCs w:val="28"/>
        </w:rPr>
        <w:t xml:space="preserve">ей</w:t>
      </w:r>
      <w:r>
        <w:rPr>
          <w:sz w:val="28"/>
          <w:szCs w:val="28"/>
        </w:rPr>
        <w:t xml:space="preserve"> давали взятку должностным лицам в прошедшем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right="-5" w:firstLine="851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Из числа заявивших о даче взятки должностным лицам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из 6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сообщили о том, что это был единичный случай</w:t>
      </w:r>
      <w:r>
        <w:rPr>
          <w:sz w:val="28"/>
          <w:szCs w:val="28"/>
        </w:rPr>
        <w:t xml:space="preserve">, и 4</w:t>
      </w:r>
      <w:r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из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– два раза </w:t>
      </w:r>
      <w:r>
        <w:rPr>
          <w:sz w:val="28"/>
          <w:szCs w:val="28"/>
        </w:rPr>
        <w:t xml:space="preserve">и более </w:t>
      </w:r>
      <w:r>
        <w:rPr>
          <w:sz w:val="28"/>
          <w:szCs w:val="28"/>
        </w:rPr>
        <w:t xml:space="preserve">за 20</w:t>
      </w:r>
      <w:r>
        <w:rPr>
          <w:sz w:val="28"/>
          <w:szCs w:val="28"/>
        </w:rPr>
        <w:t xml:space="preserve">23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right="-5" w:firstLine="851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На вопрос «В пределах какой суммы Вам приходилось давать взятку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респондент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 сообщили о сумме до 15</w:t>
      </w:r>
      <w:r>
        <w:rPr>
          <w:sz w:val="28"/>
          <w:szCs w:val="28"/>
        </w:rPr>
        <w:t xml:space="preserve">,0</w:t>
      </w:r>
      <w:r>
        <w:rPr>
          <w:sz w:val="28"/>
          <w:szCs w:val="28"/>
        </w:rPr>
        <w:t xml:space="preserve"> тысяч рублей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человек заявил о сумме взятки от 15,0 тысяч до 30,0 тысяч рублей, о сумме взятки более 30</w:t>
      </w:r>
      <w:r>
        <w:rPr>
          <w:sz w:val="28"/>
          <w:szCs w:val="28"/>
        </w:rPr>
        <w:t xml:space="preserve"> ни</w:t>
      </w:r>
      <w:r>
        <w:rPr>
          <w:sz w:val="28"/>
          <w:szCs w:val="28"/>
        </w:rPr>
        <w:t xml:space="preserve">кто из опрошенных не заявил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right="-5" w:firstLine="851"/>
        <w:jc w:val="both"/>
        <w:spacing w:before="0" w:beforeAutospacing="0" w:after="0" w:afterAutospacing="0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В ходе социологического опроса жители муниципального образования Ленинградский район дали оценку степени д</w:t>
      </w:r>
      <w:r>
        <w:rPr>
          <w:sz w:val="28"/>
          <w:szCs w:val="28"/>
        </w:rPr>
        <w:t xml:space="preserve">овери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к органам местного самоуправления муниципального образования Лен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нградский район </w:t>
      </w:r>
      <w:r>
        <w:rPr>
          <w:sz w:val="28"/>
          <w:szCs w:val="28"/>
        </w:rPr>
        <w:t xml:space="preserve">по десятибалльной шкале, где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– самый высокий уровень доверия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– самый низкий уровень доверия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получ</w:t>
      </w:r>
      <w:r>
        <w:rPr>
          <w:sz w:val="28"/>
          <w:szCs w:val="28"/>
        </w:rPr>
        <w:t xml:space="preserve">ены</w:t>
      </w:r>
      <w:r>
        <w:rPr>
          <w:sz w:val="28"/>
          <w:szCs w:val="28"/>
        </w:rPr>
        <w:t xml:space="preserve"> следующие результаты: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right="-5" w:firstLine="851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74"/>
        <w:ind w:right="-5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3004185</wp:posOffset>
                </wp:positionV>
                <wp:extent cx="971550" cy="247650"/>
                <wp:effectExtent l="0" t="0" r="0" b="0"/>
                <wp:wrapNone/>
                <wp:docPr id="4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24764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Баллы:</w:t>
                            </w:r>
                            <w:r>
                              <w:rPr>
                                <w:b/>
                              </w:rPr>
                            </w:r>
                            <w:r>
                              <w:rPr>
                                <w:b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2" o:spid="_x0000_s2" o:spt="202" type="#_x0000_t202" style="position:absolute;z-index:251677696;o:allowoverlap:true;o:allowincell:true;mso-position-horizontal-relative:text;margin-left:4.20pt;mso-position-horizontal:absolute;mso-position-vertical-relative:text;margin-top:236.55pt;mso-position-vertical:absolute;width:76.50pt;height:19.50pt;mso-wrap-distance-left:9.00pt;mso-wrap-distance-top:0.00pt;mso-wrap-distance-right:9.00pt;mso-wrap-distance-bottom:0.00pt;v-text-anchor:top;visibility:visible;" fillcolor="#FFFFFF" stroked="f" strokeweight="0.75pt">
                <v:fill opacity="100f"/>
                <v:textbox inset="0,0,0,0">
                  <w:txbxContent>
                    <w:p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Баллы:</w:t>
                      </w:r>
                      <w:r>
                        <w:rPr>
                          <w:b/>
                        </w:rPr>
                      </w:r>
                      <w:r>
                        <w:rPr>
                          <w:b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drawing>
          <wp:inline distT="0" distB="0" distL="0" distR="0">
            <wp:extent cx="6086472" cy="3248022"/>
            <wp:effectExtent l="4763" t="4763" r="4763" b="4762"/>
            <wp:docPr id="5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right="-5" w:firstLine="851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Также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в ходе социологического опроса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уточнялась</w:t>
      </w:r>
      <w:r>
        <w:rPr>
          <w:sz w:val="28"/>
          <w:szCs w:val="28"/>
        </w:rPr>
        <w:t xml:space="preserve"> оценк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коррумпированности</w:t>
      </w:r>
      <w:r>
        <w:rPr>
          <w:sz w:val="28"/>
          <w:szCs w:val="28"/>
        </w:rPr>
        <w:t xml:space="preserve"> орган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 местного самоуправления муниципального образования Ленинградский район по десятибалльной шкале, где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– самый высокий уровень </w:t>
      </w:r>
      <w:r>
        <w:rPr>
          <w:sz w:val="28"/>
          <w:szCs w:val="28"/>
        </w:rPr>
        <w:t xml:space="preserve">коррумпированности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– самый низкий уровень </w:t>
      </w:r>
      <w:r>
        <w:rPr>
          <w:sz w:val="28"/>
          <w:szCs w:val="28"/>
        </w:rPr>
        <w:t xml:space="preserve">коррумпированности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– полное отсутствие коррупции. </w:t>
      </w:r>
      <w:r>
        <w:rPr>
          <w:sz w:val="28"/>
          <w:szCs w:val="28"/>
        </w:rPr>
        <w:t xml:space="preserve">По итогам опроса </w:t>
      </w:r>
      <w:r>
        <w:rPr>
          <w:sz w:val="28"/>
          <w:szCs w:val="28"/>
        </w:rPr>
        <w:t xml:space="preserve">11,5</w:t>
      </w:r>
      <w:r>
        <w:rPr>
          <w:sz w:val="28"/>
          <w:szCs w:val="28"/>
        </w:rPr>
        <w:t xml:space="preserve">% опрошенных дали оценку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баллов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18</w:t>
      </w:r>
      <w:r>
        <w:rPr>
          <w:sz w:val="28"/>
          <w:szCs w:val="28"/>
        </w:rPr>
        <w:t xml:space="preserve">,0</w:t>
      </w:r>
      <w:r>
        <w:rPr>
          <w:sz w:val="28"/>
          <w:szCs w:val="28"/>
        </w:rPr>
        <w:t xml:space="preserve">% - дали оценку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балл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% оценили корумпированность на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баллов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% </w:t>
      </w:r>
      <w:r>
        <w:rPr>
          <w:sz w:val="28"/>
          <w:szCs w:val="28"/>
        </w:rPr>
        <w:t xml:space="preserve">опрошенных </w:t>
      </w:r>
      <w:r>
        <w:rPr>
          <w:sz w:val="28"/>
          <w:szCs w:val="28"/>
        </w:rPr>
        <w:t xml:space="preserve">дали оценку в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баллов.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right="-5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2912441</wp:posOffset>
                </wp:positionV>
                <wp:extent cx="1095375" cy="1403985"/>
                <wp:effectExtent l="0" t="0" r="0" b="0"/>
                <wp:wrapNone/>
                <wp:docPr id="6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4" cy="140398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Баллы:</w:t>
                            </w:r>
                            <w:r>
                              <w:rPr>
                                <w:b/>
                              </w:rPr>
                            </w:r>
                            <w:r>
                              <w:rPr>
                                <w:b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shape 3" o:spid="_x0000_s3" o:spt="202" type="#_x0000_t202" style="position:absolute;z-index:251663360;o:allowoverlap:true;o:allowincell:true;mso-position-horizontal-relative:text;margin-left:-6.35pt;mso-position-horizontal:absolute;mso-position-vertical-relative:text;margin-top:229.33pt;mso-position-vertical:absolute;width:86.25pt;height:110.55pt;mso-wrap-distance-left:9.00pt;mso-wrap-distance-top:0.00pt;mso-wrap-distance-right:9.00pt;mso-wrap-distance-bottom:0.00pt;v-text-anchor:top;visibility:visible;" fillcolor="#FFFFFF" stroked="f" strokeweight="0.75pt">
                <v:fill opacity="100f"/>
                <v:textbox inset="0,0,0,0">
                  <w:txbxContent>
                    <w:p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Баллы:</w:t>
                      </w:r>
                      <w:r>
                        <w:rPr>
                          <w:b/>
                        </w:rPr>
                      </w:r>
                      <w:r>
                        <w:rPr>
                          <w:b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drawing>
          <wp:inline distT="0" distB="0" distL="0" distR="0">
            <wp:extent cx="6114553" cy="3275937"/>
            <wp:effectExtent l="4763" t="4763" r="4763" b="4762"/>
            <wp:docPr id="7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right="-5" w:firstLine="851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74"/>
        <w:ind w:right="-5" w:firstLine="851"/>
        <w:jc w:val="both"/>
        <w:spacing w:before="0" w:beforeAutospacing="0" w:after="0" w:afterAutospacing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74"/>
        <w:ind w:right="-5" w:firstLine="851"/>
        <w:jc w:val="both"/>
        <w:spacing w:before="0" w:beforeAutospacing="0" w:after="0" w:afterAutospacing="0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Среди физических лиц, занимающих руководящие должности в коммерческих юридических организациях, зарегистрированных на территории муниципального образования Ленинградский район, либо лиц, осуществляющи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коммерческую деятельность в качестве индивидуальных предпринимателей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опрошено 4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человек</w:t>
      </w:r>
      <w:r>
        <w:rPr>
          <w:sz w:val="28"/>
          <w:szCs w:val="28"/>
        </w:rPr>
        <w:t xml:space="preserve">. В числе опрошенных 29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мужчин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11</w:t>
      </w:r>
      <w:r>
        <w:rPr>
          <w:sz w:val="28"/>
          <w:szCs w:val="28"/>
        </w:rPr>
        <w:t xml:space="preserve"> женщин. Возрастной </w:t>
      </w:r>
      <w:r>
        <w:rPr>
          <w:sz w:val="28"/>
          <w:szCs w:val="28"/>
        </w:rPr>
        <w:t xml:space="preserve">состав</w:t>
      </w:r>
      <w:r>
        <w:rPr>
          <w:sz w:val="28"/>
          <w:szCs w:val="28"/>
        </w:rPr>
        <w:t xml:space="preserve"> опрошенных приведён в диаграмме.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right="-5"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right="-5"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right="-5"/>
        <w:jc w:val="both"/>
        <w:spacing w:before="0" w:beforeAutospacing="0" w:after="0" w:afterAutospacing="0"/>
        <w:rPr>
          <w:sz w:val="20"/>
          <w:szCs w:val="20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67945</wp:posOffset>
                </wp:positionH>
                <wp:positionV relativeFrom="paragraph">
                  <wp:posOffset>1907540</wp:posOffset>
                </wp:positionV>
                <wp:extent cx="1095375" cy="1403985"/>
                <wp:effectExtent l="0" t="0" r="0" b="0"/>
                <wp:wrapNone/>
                <wp:docPr id="8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4" cy="140398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Возраст</w:t>
                            </w:r>
                            <w:r>
                              <w:rPr>
                                <w:b/>
                              </w:rPr>
                              <w:t xml:space="preserve">:</w:t>
                            </w:r>
                            <w:r>
                              <w:rPr>
                                <w:b/>
                              </w:rPr>
                            </w:r>
                            <w:r>
                              <w:rPr>
                                <w:b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shape 4" o:spid="_x0000_s4" o:spt="202" type="#_x0000_t202" style="position:absolute;z-index:251679744;o:allowoverlap:true;o:allowincell:true;mso-position-horizontal-relative:text;margin-left:5.35pt;mso-position-horizontal:absolute;mso-position-vertical-relative:text;margin-top:150.20pt;mso-position-vertical:absolute;width:86.25pt;height:110.55pt;mso-wrap-distance-left:9.00pt;mso-wrap-distance-top:0.00pt;mso-wrap-distance-right:9.00pt;mso-wrap-distance-bottom:0.00pt;v-text-anchor:top;visibility:visible;" fillcolor="#FFFFFF" stroked="f" strokeweight="0.75pt">
                <v:fill opacity="100f"/>
                <v:textbox inset="0,0,0,0">
                  <w:txbxContent>
                    <w:p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Возраст</w:t>
                      </w:r>
                      <w:r>
                        <w:rPr>
                          <w:b/>
                        </w:rPr>
                        <w:t xml:space="preserve">:</w:t>
                      </w:r>
                      <w:r>
                        <w:rPr>
                          <w:b/>
                        </w:rPr>
                      </w:r>
                      <w:r>
                        <w:rPr>
                          <w:b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655320</wp:posOffset>
                </wp:positionV>
                <wp:extent cx="1866900" cy="1403985"/>
                <wp:effectExtent l="0" t="0" r="0" b="0"/>
                <wp:wrapNone/>
                <wp:docPr id="9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899" cy="140398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</w:rPr>
                              <w:t xml:space="preserve">Из 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 xml:space="preserve">4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 xml:space="preserve">0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 xml:space="preserve"> опрошенных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:</w:t>
                            </w:r>
                            <w:r>
                              <w:rPr>
                                <w:b/>
                                <w:sz w:val="28"/>
                              </w:rPr>
                            </w:r>
                            <w:r>
                              <w:rPr>
                                <w:b/>
                                <w:sz w:val="28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shape 5" o:spid="_x0000_s5" o:spt="202" type="#_x0000_t202" style="position:absolute;z-index:251685888;o:allowoverlap:true;o:allowincell:true;mso-position-horizontal-relative:text;margin-left:5.60pt;mso-position-horizontal:absolute;mso-position-vertical-relative:text;margin-top:51.60pt;mso-position-vertical:absolute;width:147.00pt;height:110.55pt;mso-wrap-distance-left:9.00pt;mso-wrap-distance-top:0.00pt;mso-wrap-distance-right:9.00pt;mso-wrap-distance-bottom:0.00pt;v-text-anchor:top;visibility:visible;" fillcolor="#FFFFFF" stroked="f" strokeweight="0.75pt">
                <v:fill opacity="100f"/>
                <v:textbox inset="0,0,0,0">
                  <w:txbxContent>
                    <w:p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i/>
                          <w:sz w:val="28"/>
                        </w:rPr>
                        <w:t xml:space="preserve">Из </w:t>
                      </w:r>
                      <w:r>
                        <w:rPr>
                          <w:b/>
                          <w:i/>
                          <w:sz w:val="28"/>
                        </w:rPr>
                        <w:t xml:space="preserve">4</w:t>
                      </w:r>
                      <w:r>
                        <w:rPr>
                          <w:b/>
                          <w:i/>
                          <w:sz w:val="28"/>
                        </w:rPr>
                        <w:t xml:space="preserve">0</w:t>
                      </w:r>
                      <w:r>
                        <w:rPr>
                          <w:b/>
                          <w:i/>
                          <w:sz w:val="28"/>
                        </w:rPr>
                        <w:t xml:space="preserve"> опрошенных</w:t>
                      </w:r>
                      <w:r>
                        <w:rPr>
                          <w:b/>
                          <w:sz w:val="28"/>
                        </w:rPr>
                        <w:t xml:space="preserve">:</w:t>
                      </w:r>
                      <w:r>
                        <w:rPr>
                          <w:b/>
                          <w:sz w:val="28"/>
                        </w:rPr>
                      </w:r>
                      <w:r>
                        <w:rPr>
                          <w:b/>
                          <w:sz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  <w:szCs w:val="20"/>
        </w:rPr>
        <w:drawing>
          <wp:inline distT="0" distB="0" distL="0" distR="0">
            <wp:extent cx="6019800" cy="2124074"/>
            <wp:effectExtent l="4763" t="4763" r="4763" b="4763"/>
            <wp:docPr id="10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74"/>
        <w:ind w:right="-5"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right="-5" w:firstLine="851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74"/>
        <w:ind w:right="-5" w:firstLine="851"/>
        <w:jc w:val="both"/>
        <w:spacing w:before="0" w:beforeAutospacing="0" w:after="0" w:afterAutospacing="0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В ходе социологических исследований получены следующие данные, характеризующие восприятие уровня коррупции в муниципальном </w:t>
      </w:r>
      <w:r>
        <w:rPr>
          <w:sz w:val="28"/>
          <w:szCs w:val="28"/>
        </w:rPr>
        <w:t xml:space="preserve">образовании Ленинградский район.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right="-5" w:firstLine="851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На вопрос анкеты «Приходилось ли Вам давать взятку должностным лицам?» - </w:t>
      </w:r>
      <w:r>
        <w:rPr>
          <w:sz w:val="28"/>
          <w:szCs w:val="28"/>
        </w:rPr>
        <w:t xml:space="preserve">38</w:t>
      </w:r>
      <w:r>
        <w:rPr>
          <w:sz w:val="28"/>
          <w:szCs w:val="28"/>
        </w:rPr>
        <w:t xml:space="preserve"> опрошенны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из 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 ответили, что не приходилось давать взятку должностным лицам. Доля респондентов, заявивших о даче взятки, составила 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% или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человек из 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right="-5" w:firstLine="851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На вопрос анкеты «Приходилось ли Вам давать взятку должностным лицам за последний год?» -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опрошенны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из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ответили, что приходилось давать взятку должностным лицам</w:t>
      </w:r>
      <w:r>
        <w:rPr>
          <w:sz w:val="28"/>
          <w:szCs w:val="28"/>
        </w:rPr>
        <w:t xml:space="preserve">, размером до 15</w:t>
      </w:r>
      <w:r>
        <w:rPr>
          <w:sz w:val="28"/>
          <w:szCs w:val="28"/>
        </w:rPr>
        <w:t xml:space="preserve">,0</w:t>
      </w:r>
      <w:r>
        <w:rPr>
          <w:sz w:val="28"/>
          <w:szCs w:val="28"/>
        </w:rPr>
        <w:t xml:space="preserve"> тысяч рублей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за последний год.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right="-5" w:firstLine="851"/>
        <w:jc w:val="both"/>
        <w:spacing w:before="0" w:beforeAutospacing="0" w:after="0" w:afterAutospacing="0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В ходе социологического опроса </w:t>
      </w:r>
      <w:r>
        <w:rPr>
          <w:sz w:val="28"/>
          <w:szCs w:val="28"/>
        </w:rPr>
        <w:t xml:space="preserve">среди представителей бизнеса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</w:t>
      </w:r>
      <w:r>
        <w:rPr>
          <w:sz w:val="28"/>
          <w:szCs w:val="28"/>
        </w:rPr>
        <w:t xml:space="preserve"> оценк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степени доверия к органам местного самоуправления муниципального образования Ленинградский район по десятибалльной шкале, где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– самый высокий уровень доверия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– самый низкий уровень доверия, получ</w:t>
      </w:r>
      <w:r>
        <w:rPr>
          <w:sz w:val="28"/>
          <w:szCs w:val="28"/>
        </w:rPr>
        <w:t xml:space="preserve">ены</w:t>
      </w:r>
      <w:r>
        <w:rPr>
          <w:sz w:val="28"/>
          <w:szCs w:val="28"/>
        </w:rPr>
        <w:t xml:space="preserve"> следующие результаты.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right="-5" w:firstLine="851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right="-5" w:firstLine="851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74"/>
        <w:ind w:right="-5" w:firstLine="900"/>
        <w:jc w:val="both"/>
        <w:spacing w:before="0" w:beforeAutospacing="0" w:after="0" w:afterAutospacing="0"/>
        <w:rPr>
          <w:sz w:val="12"/>
          <w:szCs w:val="12"/>
        </w:rPr>
      </w:pPr>
      <w:r>
        <w:rPr>
          <w:sz w:val="12"/>
          <w:szCs w:val="12"/>
        </w:rPr>
      </w:r>
      <w:r>
        <w:rPr>
          <w:sz w:val="12"/>
          <w:szCs w:val="12"/>
        </w:rPr>
      </w:r>
      <w:r>
        <w:rPr>
          <w:sz w:val="12"/>
          <w:szCs w:val="12"/>
        </w:rPr>
      </w:r>
    </w:p>
    <w:p>
      <w:pPr>
        <w:pStyle w:val="874"/>
        <w:ind w:right="-5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3435350</wp:posOffset>
                </wp:positionV>
                <wp:extent cx="1095375" cy="1403985"/>
                <wp:effectExtent l="0" t="0" r="0" b="0"/>
                <wp:wrapNone/>
                <wp:docPr id="11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4" cy="140398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Баллы:</w:t>
                            </w:r>
                            <w:r>
                              <w:rPr>
                                <w:b/>
                              </w:rPr>
                            </w:r>
                            <w:r>
                              <w:rPr>
                                <w:b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shape 6" o:spid="_x0000_s6" o:spt="202" type="#_x0000_t202" style="position:absolute;z-index:251686912;o:allowoverlap:true;o:allowincell:true;mso-position-horizontal-relative:text;margin-left:-0.65pt;mso-position-horizontal:absolute;mso-position-vertical-relative:text;margin-top:270.50pt;mso-position-vertical:absolute;width:86.25pt;height:110.55pt;mso-wrap-distance-left:9.00pt;mso-wrap-distance-top:0.00pt;mso-wrap-distance-right:9.00pt;mso-wrap-distance-bottom:0.00pt;v-text-anchor:top;visibility:visible;" fillcolor="#FFFFFF" stroked="f" strokeweight="0.75pt">
                <v:fill opacity="100f"/>
                <v:textbox inset="0,0,0,0">
                  <w:txbxContent>
                    <w:p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Баллы:</w:t>
                      </w:r>
                      <w:r>
                        <w:rPr>
                          <w:b/>
                        </w:rPr>
                      </w:r>
                      <w:r>
                        <w:rPr>
                          <w:b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drawing>
          <wp:inline distT="0" distB="0" distL="0" distR="0">
            <wp:extent cx="6153149" cy="3809999"/>
            <wp:effectExtent l="4763" t="4763" r="4763" b="4762"/>
            <wp:docPr id="12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right="-5" w:firstLine="900"/>
        <w:jc w:val="both"/>
        <w:spacing w:before="0" w:beforeAutospacing="0" w:after="0" w:afterAutospacing="0"/>
        <w:rPr>
          <w:sz w:val="12"/>
          <w:szCs w:val="12"/>
        </w:rPr>
      </w:pPr>
      <w:r>
        <w:rPr>
          <w:sz w:val="12"/>
          <w:szCs w:val="12"/>
        </w:rPr>
      </w:r>
      <w:r>
        <w:rPr>
          <w:sz w:val="12"/>
          <w:szCs w:val="12"/>
        </w:rPr>
      </w:r>
      <w:r>
        <w:rPr>
          <w:sz w:val="12"/>
          <w:szCs w:val="12"/>
        </w:rPr>
      </w:r>
    </w:p>
    <w:p>
      <w:pPr>
        <w:pStyle w:val="874"/>
        <w:ind w:right="-5" w:firstLine="851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right="-5" w:firstLine="851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right="-5" w:firstLine="851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74"/>
        <w:ind w:right="-5" w:firstLine="851"/>
        <w:jc w:val="both"/>
        <w:spacing w:before="0" w:beforeAutospacing="0" w:after="0" w:afterAutospacing="0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ходе социологического опроса </w:t>
      </w:r>
      <w:r>
        <w:rPr>
          <w:sz w:val="28"/>
          <w:szCs w:val="28"/>
        </w:rPr>
        <w:t xml:space="preserve">представител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бизнеса </w:t>
      </w:r>
      <w:r>
        <w:rPr>
          <w:sz w:val="28"/>
          <w:szCs w:val="28"/>
        </w:rPr>
        <w:t xml:space="preserve">да</w:t>
      </w:r>
      <w:r>
        <w:rPr>
          <w:sz w:val="28"/>
          <w:szCs w:val="28"/>
        </w:rPr>
        <w:t xml:space="preserve">ли</w:t>
      </w:r>
      <w:r>
        <w:rPr>
          <w:sz w:val="28"/>
          <w:szCs w:val="28"/>
        </w:rPr>
        <w:t xml:space="preserve"> оценку коррумпированности органов местного самоуправления муниципального образования Ленинградский район по десятибалльной шкале, где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– самый высокий уровень коррумпированности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– самый низкий уровень коррумпированности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– полное отсутствие коррупции. </w:t>
      </w:r>
      <w:r>
        <w:rPr>
          <w:sz w:val="28"/>
          <w:szCs w:val="28"/>
        </w:rPr>
        <w:t xml:space="preserve">По итогам опроса, </w:t>
      </w:r>
      <w:r>
        <w:rPr>
          <w:sz w:val="28"/>
          <w:szCs w:val="28"/>
        </w:rPr>
        <w:t xml:space="preserve">ни кто из </w:t>
      </w:r>
      <w:r>
        <w:rPr>
          <w:sz w:val="28"/>
          <w:szCs w:val="28"/>
        </w:rPr>
        <w:t xml:space="preserve">опрошенных не дал оценку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баллов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7,5 </w:t>
      </w:r>
      <w:r>
        <w:rPr>
          <w:sz w:val="28"/>
          <w:szCs w:val="28"/>
        </w:rPr>
        <w:t xml:space="preserve">% - дали оценку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балл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% оценили коррумпированность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баллов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10,0</w:t>
      </w:r>
      <w:r>
        <w:rPr>
          <w:sz w:val="28"/>
          <w:szCs w:val="28"/>
        </w:rPr>
        <w:t xml:space="preserve">% опрошенных дали оценку в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баллов.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right="-5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2675890</wp:posOffset>
                </wp:positionV>
                <wp:extent cx="1095375" cy="1403985"/>
                <wp:effectExtent l="0" t="0" r="0" b="0"/>
                <wp:wrapNone/>
                <wp:docPr id="13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4" cy="140398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Баллы:</w:t>
                            </w:r>
                            <w:r>
                              <w:rPr>
                                <w:b/>
                              </w:rPr>
                            </w:r>
                            <w:r>
                              <w:rPr>
                                <w:b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shape 7" o:spid="_x0000_s7" o:spt="202" type="#_x0000_t202" style="position:absolute;z-index:251680768;o:allowoverlap:true;o:allowincell:true;mso-position-horizontal-relative:text;margin-left:-6.35pt;mso-position-horizontal:absolute;mso-position-vertical-relative:text;margin-top:210.70pt;mso-position-vertical:absolute;width:86.25pt;height:110.55pt;mso-wrap-distance-left:9.00pt;mso-wrap-distance-top:0.00pt;mso-wrap-distance-right:9.00pt;mso-wrap-distance-bottom:0.00pt;v-text-anchor:top;visibility:visible;" fillcolor="#FFFFFF" stroked="f" strokeweight="0.75pt">
                <v:fill opacity="100f"/>
                <v:textbox inset="0,0,0,0">
                  <w:txbxContent>
                    <w:p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Баллы:</w:t>
                      </w:r>
                      <w:r>
                        <w:rPr>
                          <w:b/>
                        </w:rPr>
                      </w:r>
                      <w:r>
                        <w:rPr>
                          <w:b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drawing>
          <wp:inline distT="0" distB="0" distL="0" distR="0">
            <wp:extent cx="6115047" cy="2997198"/>
            <wp:effectExtent l="4763" t="4763" r="4763" b="4762"/>
            <wp:docPr id="14" name="Диаграмма 28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right="-5"/>
        <w:jc w:val="center"/>
        <w:spacing w:before="0" w:beforeAutospacing="0" w:after="0" w:afterAutospacing="0"/>
        <w:rPr>
          <w:b/>
          <w:sz w:val="12"/>
          <w:szCs w:val="12"/>
        </w:rPr>
      </w:pPr>
      <w:r>
        <w:rPr>
          <w:b/>
          <w:sz w:val="12"/>
          <w:szCs w:val="12"/>
        </w:rPr>
      </w:r>
      <w:r>
        <w:rPr>
          <w:b/>
          <w:sz w:val="12"/>
          <w:szCs w:val="12"/>
        </w:rPr>
      </w:r>
      <w:r>
        <w:rPr>
          <w:b/>
          <w:sz w:val="12"/>
          <w:szCs w:val="12"/>
        </w:rPr>
      </w:r>
    </w:p>
    <w:p>
      <w:pPr>
        <w:pStyle w:val="874"/>
        <w:ind w:right="-5"/>
        <w:jc w:val="center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4"/>
        <w:ind w:right="-5"/>
        <w:jc w:val="center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Выводы </w:t>
      </w:r>
      <w:r>
        <w:rPr>
          <w:b/>
          <w:sz w:val="28"/>
          <w:szCs w:val="28"/>
        </w:rPr>
        <w:t xml:space="preserve">по итогам </w:t>
      </w:r>
      <w:r>
        <w:rPr>
          <w:b/>
          <w:sz w:val="28"/>
          <w:szCs w:val="28"/>
        </w:rPr>
        <w:t xml:space="preserve">мониторинга восприятия уровня коррупции в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4"/>
        <w:ind w:right="-5"/>
        <w:jc w:val="center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муниципальном образовании </w:t>
      </w:r>
      <w:r>
        <w:rPr>
          <w:b/>
          <w:sz w:val="28"/>
          <w:szCs w:val="28"/>
        </w:rPr>
        <w:t xml:space="preserve">Ленинградский</w:t>
      </w:r>
      <w:r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4"/>
        <w:ind w:right="-5"/>
        <w:jc w:val="center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4"/>
        <w:ind w:right="-5"/>
        <w:jc w:val="center"/>
        <w:spacing w:before="0" w:beforeAutospacing="0" w:after="0" w:afterAutospacing="0"/>
        <w:rPr>
          <w:b/>
          <w:sz w:val="12"/>
          <w:szCs w:val="12"/>
        </w:rPr>
      </w:pPr>
      <w:r>
        <w:rPr>
          <w:b/>
          <w:sz w:val="12"/>
          <w:szCs w:val="12"/>
        </w:rPr>
      </w:r>
      <w:r>
        <w:rPr>
          <w:b/>
          <w:sz w:val="12"/>
          <w:szCs w:val="12"/>
        </w:rPr>
      </w:r>
      <w:r>
        <w:rPr>
          <w:b/>
          <w:sz w:val="12"/>
          <w:szCs w:val="12"/>
        </w:rPr>
      </w:r>
    </w:p>
    <w:p>
      <w:pPr>
        <w:pStyle w:val="874"/>
        <w:ind w:right="-5" w:firstLine="851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Согласно оценке граждан</w:t>
      </w:r>
      <w:r>
        <w:rPr>
          <w:sz w:val="28"/>
          <w:szCs w:val="28"/>
        </w:rPr>
        <w:t xml:space="preserve"> и представителей бизнеса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особо </w:t>
      </w:r>
      <w:r>
        <w:rPr>
          <w:sz w:val="28"/>
          <w:szCs w:val="28"/>
        </w:rPr>
        <w:t xml:space="preserve">коррумпированны</w:t>
      </w:r>
      <w:r>
        <w:rPr>
          <w:sz w:val="28"/>
          <w:szCs w:val="28"/>
        </w:rPr>
        <w:t xml:space="preserve">ми</w:t>
      </w:r>
      <w:r>
        <w:rPr>
          <w:sz w:val="28"/>
          <w:szCs w:val="28"/>
        </w:rPr>
        <w:t xml:space="preserve"> сфер</w:t>
      </w:r>
      <w:r>
        <w:rPr>
          <w:sz w:val="28"/>
          <w:szCs w:val="28"/>
        </w:rPr>
        <w:t xml:space="preserve">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деятельности</w:t>
      </w:r>
      <w:r>
        <w:rPr>
          <w:sz w:val="28"/>
          <w:szCs w:val="28"/>
        </w:rPr>
        <w:t xml:space="preserve"> отраслевых (функциональных) органов администрации муниципального образования </w:t>
      </w:r>
      <w:r>
        <w:rPr>
          <w:sz w:val="28"/>
          <w:szCs w:val="28"/>
        </w:rPr>
        <w:t xml:space="preserve">Лен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нградский</w:t>
      </w:r>
      <w:r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подведомственных казенных, бюджетных, автономных учреждений как и в прошлом году </w:t>
      </w:r>
      <w:r>
        <w:rPr>
          <w:sz w:val="28"/>
          <w:szCs w:val="28"/>
        </w:rPr>
        <w:t xml:space="preserve">является деятельность в области</w:t>
      </w:r>
      <w:r>
        <w:rPr>
          <w:sz w:val="28"/>
          <w:szCs w:val="28"/>
        </w:rPr>
        <w:t xml:space="preserve"> земель</w:t>
      </w:r>
      <w:r>
        <w:rPr>
          <w:sz w:val="28"/>
          <w:szCs w:val="28"/>
        </w:rPr>
        <w:t xml:space="preserve">ных и имущественных отношений, </w:t>
      </w:r>
      <w:r>
        <w:rPr>
          <w:sz w:val="28"/>
          <w:szCs w:val="28"/>
        </w:rPr>
        <w:t xml:space="preserve">архитектуры, и муниципального заказа, как наиболее подверженные коррупционным рискам.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right="-5"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мониторинга планируется</w:t>
      </w:r>
      <w:r>
        <w:rPr>
          <w:sz w:val="28"/>
          <w:szCs w:val="28"/>
        </w:rPr>
        <w:t xml:space="preserve"> продолжать следующую работу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right="-5" w:firstLine="851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 </w:t>
      </w:r>
      <w:r>
        <w:rPr>
          <w:sz w:val="28"/>
          <w:szCs w:val="28"/>
        </w:rPr>
        <w:t xml:space="preserve">увеличение количества </w:t>
      </w:r>
      <w:r>
        <w:rPr>
          <w:sz w:val="28"/>
          <w:szCs w:val="28"/>
        </w:rPr>
        <w:t xml:space="preserve">публикаци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информационных </w:t>
      </w:r>
      <w:r>
        <w:rPr>
          <w:sz w:val="28"/>
          <w:szCs w:val="28"/>
        </w:rPr>
        <w:t xml:space="preserve">материалов в </w:t>
      </w:r>
      <w:r>
        <w:rPr>
          <w:sz w:val="28"/>
          <w:szCs w:val="28"/>
        </w:rPr>
        <w:t xml:space="preserve">СМИ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направленные на формирование позитивного общественного мнения о деятельности органов местного самоуправления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right="-5" w:firstLine="851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деятельности </w:t>
      </w:r>
      <w:r>
        <w:rPr>
          <w:sz w:val="28"/>
          <w:szCs w:val="28"/>
        </w:rPr>
        <w:t xml:space="preserve">отраслевых (функциональных) органов администрации муниципального образования Ленинградский район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постоянной </w:t>
      </w:r>
      <w:r>
        <w:rPr>
          <w:sz w:val="28"/>
          <w:szCs w:val="28"/>
        </w:rPr>
        <w:t xml:space="preserve">основе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мероприятий по</w:t>
      </w:r>
      <w:r>
        <w:rPr>
          <w:sz w:val="28"/>
          <w:szCs w:val="28"/>
        </w:rPr>
        <w:t xml:space="preserve"> выявлению и</w:t>
      </w:r>
      <w:r>
        <w:rPr>
          <w:sz w:val="28"/>
          <w:szCs w:val="28"/>
        </w:rPr>
        <w:t xml:space="preserve"> устранению условий, способствующих совершению коррупционных правонарушений, с которыми граждане встречаются наиболее часто (бытовая коррупция), а также </w:t>
      </w:r>
      <w:r>
        <w:rPr>
          <w:sz w:val="28"/>
          <w:szCs w:val="28"/>
        </w:rPr>
        <w:t xml:space="preserve">контроль</w:t>
      </w:r>
      <w:r>
        <w:rPr>
          <w:sz w:val="28"/>
          <w:szCs w:val="28"/>
        </w:rPr>
        <w:t xml:space="preserve"> за их выполнением;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right="-5" w:firstLine="851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оручить руководителям </w:t>
      </w:r>
      <w:r>
        <w:rPr>
          <w:sz w:val="28"/>
          <w:szCs w:val="28"/>
        </w:rPr>
        <w:t xml:space="preserve">отраслевых (функциональных) органов администрации муниципального образования Ленинградский район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продолжи</w:t>
      </w:r>
      <w:r>
        <w:rPr>
          <w:sz w:val="28"/>
          <w:szCs w:val="28"/>
        </w:rPr>
        <w:t xml:space="preserve">ть проведение </w:t>
      </w:r>
      <w:r>
        <w:rPr>
          <w:sz w:val="28"/>
          <w:szCs w:val="28"/>
        </w:rPr>
        <w:t xml:space="preserve">среди подчиненных </w:t>
      </w:r>
      <w:r>
        <w:rPr>
          <w:sz w:val="28"/>
          <w:szCs w:val="28"/>
        </w:rPr>
        <w:t xml:space="preserve">разъяснительн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работ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недопущении </w:t>
      </w:r>
      <w:r>
        <w:rPr>
          <w:sz w:val="28"/>
          <w:szCs w:val="28"/>
        </w:rPr>
        <w:t xml:space="preserve">совершения коррупционных и иных правонарушений при исполнении ими должностных обязанностей, обеспечивать профессиональное становление, развитие и адаптацию к квалифицированному исполнению должностных обязанностей вновь назначенных служащих.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right="-5" w:firstLine="90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right="-5" w:firstLine="708"/>
        <w:jc w:val="both"/>
        <w:spacing w:before="0" w:beforeAutospacing="0" w:after="0" w:afterAutospacing="0"/>
        <w:rPr>
          <w:sz w:val="28"/>
          <w:szCs w:val="28"/>
          <w:highlight w:val="none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100107</wp:posOffset>
                </wp:positionH>
                <wp:positionV relativeFrom="paragraph">
                  <wp:posOffset>2598420</wp:posOffset>
                </wp:positionV>
                <wp:extent cx="1095375" cy="1403985"/>
                <wp:effectExtent l="0" t="0" r="0" b="0"/>
                <wp:wrapNone/>
                <wp:docPr id="15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shape 8" o:spid="_x0000_s8" o:spt="202" type="#_x0000_t202" style="position:absolute;z-index:251659264;o:allowoverlap:true;o:allowincell:true;mso-position-horizontal-relative:text;margin-left:7.88pt;mso-position-horizontal:absolute;mso-position-vertical-relative:text;margin-top:204.60pt;mso-position-vertical:absolute;width:86.25pt;height:110.55pt;mso-wrap-distance-left:9.00pt;mso-wrap-distance-top:0.00pt;mso-wrap-distance-right:9.00pt;mso-wrap-distance-bottom:0.00pt;v-text-anchor:top;visibility:visible;" fillcolor="#FFFFFF" stroked="f" strokeweight="0.75pt">
                <v:fill opacity="100f"/>
                <v:textbox inset="0,0,0,0">
                  <w:txbxContent>
                    <w:p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вопрос: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pStyle w:val="874"/>
        <w:ind w:right="-5" w:firstLine="70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67"/>
        <w:ind w:firstLine="70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мониторинге коррупционных рисков в администрации муниципального образования Ленинградский район в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году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firstLine="567"/>
        <w:jc w:val="both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74"/>
        <w:ind w:firstLine="851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муниципального образования Ленинградский район от 29 апреля 2015 года №364 «Об утвер</w:t>
      </w:r>
      <w:r>
        <w:rPr>
          <w:sz w:val="28"/>
          <w:szCs w:val="28"/>
        </w:rPr>
        <w:t xml:space="preserve">ждении методики мониторинга коррупционных рисков в отраслевых (функциональных) органах администрации муниципального образования Ленинградский район и подведомственных им учреждениях для определения перечня должностей, в наибольшей степени подверженных риск</w:t>
      </w:r>
      <w:r>
        <w:rPr>
          <w:sz w:val="28"/>
          <w:szCs w:val="28"/>
        </w:rPr>
        <w:t xml:space="preserve">у коррупции», в целях определения сфер муниципального управления и перечня муниципальных должностей, в наибольшей степени подверженных риску коррупции, проведен мониторинг коррупционных рисков в администрации муниципального образования Ленинградский район.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firstLine="851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Мониторинг коррупционных рисков проводился на основании анализа данных, полученных в результате: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firstLine="851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антикоррупционной экспертизы нормативных правовых актов и проектов нормативных правовых актов администрации муниципального образования Ленинградский район;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firstLine="851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экспертизы жалоб и обращений граждан на наличие сведений о фактах коррупции в администрации муниципального образования Ленинградский район;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firstLine="851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мониторинга восприятия уровня коррупции в муниципальном образовании Ленинградский район;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firstLine="851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статистического наблюдения за уровнем регистрируемых коррупционных правонарушений.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firstLine="851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Во исполнение постановления админист</w:t>
      </w:r>
      <w:r>
        <w:rPr>
          <w:sz w:val="28"/>
          <w:szCs w:val="28"/>
        </w:rPr>
        <w:t xml:space="preserve">рации муниципального образования Ленинградский район от 11 марта 2011 года №354 «Об антикоррупционной экспертизе нормативных правовых актов и проектов нормативных правовых актов органов местного самоуправления муниципального образования Ленинградский район</w:t>
      </w:r>
      <w:r>
        <w:rPr>
          <w:sz w:val="28"/>
          <w:szCs w:val="28"/>
        </w:rPr>
        <w:t xml:space="preserve">» (с изменениями и дополнениями), проекты нормативных правовых актов администрации муниципального образования Ленинградский район направляются в прокуратуру Ленинградского района для проведения экспертизы на их коррупциогенность. Также, нормативные правовы</w:t>
      </w:r>
      <w:r>
        <w:rPr>
          <w:sz w:val="28"/>
          <w:szCs w:val="28"/>
        </w:rPr>
        <w:t xml:space="preserve">е акты  администрации муниципального образования Ленинградский район (или их проекты) размещаются на официальном сайте администрации муниципального образования Ленинградский район (http://adminlenkub.ru.) где независимыми экспертами из числа лиц, обладающи</w:t>
      </w:r>
      <w:r>
        <w:rPr>
          <w:sz w:val="28"/>
          <w:szCs w:val="28"/>
        </w:rPr>
        <w:t xml:space="preserve">х правом проводить независимую антикоррупционную экспертизу муниципальных нормативных правовых актов (проектов муниципальных нормативных правовых актов), проводится их оценка на предмет выявления в них коррупциогенных факторов и их последующего устранения.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firstLine="851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планом противодействия коррупции в муниципальном образовании Ленинградский район, утвержденным постановлением администрации муниципального образования Л</w:t>
      </w:r>
      <w:r>
        <w:rPr>
          <w:sz w:val="28"/>
          <w:szCs w:val="28"/>
        </w:rPr>
        <w:t xml:space="preserve">енинградский район от </w:t>
      </w:r>
      <w:r>
        <w:rPr>
          <w:sz w:val="28"/>
          <w:szCs w:val="28"/>
        </w:rPr>
        <w:t xml:space="preserve">14 мая</w:t>
      </w:r>
      <w:r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года №381</w:t>
      </w:r>
      <w:r>
        <w:rPr>
          <w:sz w:val="28"/>
          <w:szCs w:val="28"/>
        </w:rPr>
        <w:t xml:space="preserve">  «Об утверждении плана </w:t>
      </w:r>
      <w:r>
        <w:rPr>
          <w:sz w:val="28"/>
          <w:szCs w:val="28"/>
        </w:rPr>
        <w:t xml:space="preserve">мероприятий по противодействию</w:t>
      </w:r>
      <w:r>
        <w:rPr>
          <w:sz w:val="28"/>
          <w:szCs w:val="28"/>
        </w:rPr>
        <w:t xml:space="preserve"> коррупции в муниципальном образовании Ленинградский район» </w:t>
      </w:r>
      <w:r>
        <w:rPr>
          <w:sz w:val="28"/>
          <w:szCs w:val="28"/>
        </w:rPr>
        <w:t xml:space="preserve">(с изменениями от 29.09.2021 г.) </w:t>
      </w:r>
      <w:r>
        <w:rPr>
          <w:sz w:val="28"/>
          <w:szCs w:val="28"/>
        </w:rPr>
        <w:t xml:space="preserve">организовано </w:t>
      </w:r>
      <w:r>
        <w:rPr>
          <w:sz w:val="28"/>
          <w:szCs w:val="28"/>
        </w:rPr>
        <w:t xml:space="preserve">проведение антикоррупционной экспертизы муниципальных нормативных правовых актов.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left="0" w:right="0" w:firstLine="85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От независимых экспертов заключения </w:t>
      </w:r>
      <w:r>
        <w:rPr>
          <w:sz w:val="28"/>
          <w:szCs w:val="28"/>
        </w:rPr>
        <w:t xml:space="preserve">за отчетный период не пос</w:t>
      </w:r>
      <w:r>
        <w:rPr>
          <w:sz w:val="28"/>
          <w:szCs w:val="28"/>
        </w:rPr>
        <w:t xml:space="preserve">тупа</w:t>
      </w:r>
      <w:r>
        <w:rPr>
          <w:sz w:val="28"/>
          <w:szCs w:val="28"/>
        </w:rPr>
        <w:t xml:space="preserve">ли.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85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Ленинградский район в отношении </w:t>
      </w:r>
      <w:r>
        <w:rPr>
          <w:rFonts w:ascii="Times New Roman" w:hAnsi="Times New Roman" w:cs="Times New Roman"/>
          <w:sz w:val="28"/>
          <w:szCs w:val="28"/>
        </w:rPr>
        <w:t xml:space="preserve">109 </w:t>
      </w:r>
      <w:r>
        <w:rPr>
          <w:rFonts w:ascii="Times New Roman" w:hAnsi="Times New Roman" w:cs="Times New Roman"/>
          <w:sz w:val="28"/>
          <w:szCs w:val="28"/>
        </w:rPr>
        <w:t xml:space="preserve">проектов муниципальных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проведена антикоррупционная экспертиза. Подготовлено </w:t>
      </w:r>
      <w:r>
        <w:rPr>
          <w:rFonts w:ascii="Times New Roman" w:hAnsi="Times New Roman" w:cs="Times New Roman"/>
          <w:sz w:val="28"/>
          <w:szCs w:val="28"/>
        </w:rPr>
        <w:t xml:space="preserve">109</w:t>
      </w:r>
      <w:r>
        <w:rPr>
          <w:rFonts w:ascii="Times New Roman" w:hAnsi="Times New Roman" w:cs="Times New Roman"/>
          <w:sz w:val="28"/>
          <w:szCs w:val="28"/>
        </w:rPr>
        <w:t xml:space="preserve"> положительных заключения.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85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Заключений, подготовленных аккредитованными в установленном порядке независимыми экспертами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85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Сельскими поселениями муниципального образования Ленинградский район </w:t>
      </w:r>
      <w:r>
        <w:rPr>
          <w:rFonts w:ascii="Times New Roman" w:hAnsi="Times New Roman" w:cs="Times New Roman"/>
          <w:sz w:val="28"/>
          <w:szCs w:val="28"/>
        </w:rPr>
        <w:t xml:space="preserve">в отношении 439</w:t>
      </w:r>
      <w:r>
        <w:rPr>
          <w:rFonts w:ascii="Times New Roman" w:hAnsi="Times New Roman" w:cs="Times New Roman"/>
          <w:sz w:val="28"/>
          <w:szCs w:val="28"/>
        </w:rPr>
        <w:t xml:space="preserve"> проектов муниципальных нормативных правовых актов проведена антикоррупционная экспертиза, в том числе получено 439</w:t>
      </w:r>
      <w:r>
        <w:rPr>
          <w:rFonts w:ascii="Times New Roman" w:hAnsi="Times New Roman" w:cs="Times New Roman"/>
          <w:sz w:val="28"/>
          <w:szCs w:val="28"/>
        </w:rPr>
        <w:t xml:space="preserve"> положительных заключений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Отрицательных </w:t>
      </w:r>
      <w:r>
        <w:rPr>
          <w:rFonts w:ascii="Times New Roman" w:hAnsi="Times New Roman" w:cs="Times New Roman"/>
          <w:sz w:val="28"/>
          <w:szCs w:val="28"/>
        </w:rPr>
        <w:t xml:space="preserve"> заключений</w:t>
      </w:r>
      <w:r>
        <w:rPr>
          <w:rFonts w:ascii="Times New Roman" w:hAnsi="Times New Roman" w:cs="Times New Roman"/>
          <w:sz w:val="28"/>
          <w:szCs w:val="28"/>
        </w:rPr>
        <w:t xml:space="preserve"> нет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85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Заключений, подготовленных аккредитованными в установленном порядке независимыми экспертами в отчетном периоде не было.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4311"/>
        <w:ind w:left="0" w:right="0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Ленинградский район от 15.12.2021 года №1324</w:t>
      </w:r>
      <w:r>
        <w:rPr>
          <w:rFonts w:ascii="Times New Roman" w:hAnsi="Times New Roman" w:cs="Times New Roman"/>
          <w:sz w:val="28"/>
          <w:szCs w:val="28"/>
        </w:rPr>
        <w:t xml:space="preserve"> утвержд</w:t>
      </w:r>
      <w:r>
        <w:rPr>
          <w:rFonts w:ascii="Times New Roman" w:hAnsi="Times New Roman" w:cs="Times New Roman"/>
          <w:sz w:val="28"/>
          <w:szCs w:val="28"/>
        </w:rPr>
        <w:t xml:space="preserve">ен</w:t>
      </w:r>
      <w:r>
        <w:rPr>
          <w:rFonts w:ascii="Times New Roman" w:hAnsi="Times New Roman" w:cs="Times New Roman"/>
          <w:sz w:val="28"/>
          <w:szCs w:val="28"/>
        </w:rPr>
        <w:t xml:space="preserve"> план проведения мониторинга правоприменения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202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4311"/>
        <w:ind w:left="0" w:right="0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Вышеуказанное постановление размещено на официальном сайте администрации муниципального образования Ленинградский район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4311"/>
        <w:ind w:left="0" w:right="0" w:firstLine="850"/>
        <w:jc w:val="both"/>
        <w:rPr>
          <w:rFonts w:ascii="Times New Roman" w:hAnsi="Times New Roman" w:cs="Times New Roman"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отчетном периоде </w:t>
      </w:r>
      <w:r>
        <w:rPr>
          <w:rFonts w:ascii="Times New Roman" w:hAnsi="Times New Roman" w:cs="Times New Roman"/>
          <w:sz w:val="28"/>
          <w:szCs w:val="28"/>
        </w:rPr>
        <w:t xml:space="preserve">мониторнинг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правопреминения</w:t>
      </w:r>
      <w:r>
        <w:rPr>
          <w:rFonts w:ascii="Times New Roman" w:hAnsi="Times New Roman" w:cs="Times New Roman"/>
          <w:sz w:val="28"/>
          <w:szCs w:val="28"/>
        </w:rPr>
        <w:t xml:space="preserve"> проведен в отношении 10 муниципальных правовых актов.</w:t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</w:r>
    </w:p>
    <w:p>
      <w:pPr>
        <w:pStyle w:val="1_4311"/>
        <w:ind w:left="0" w:right="0" w:firstLine="85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устранения нарушений, выявленных при мониторинге правоприменения в отчетном периоде </w:t>
      </w:r>
      <w:r>
        <w:rPr>
          <w:rFonts w:ascii="Times New Roman" w:hAnsi="Times New Roman" w:cs="Times New Roman"/>
          <w:sz w:val="28"/>
          <w:szCs w:val="28"/>
        </w:rPr>
        <w:t xml:space="preserve">нет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4311"/>
        <w:ind w:left="0" w:right="0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сельских поселениях в рамках мониторинга правоприменения внесены изменения в 24 правовых акта, 12 признаны утратившими силу.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4"/>
        <w:ind w:firstLine="851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муниципальном образовании Ленинградский район граждане имеют возможность беспрепятственно сообщать в органы местного самоуправления об имевших место антикоррупционных проявлениях посредством: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firstLine="851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личных обращений в приемную главы муниципального образования Ленинградский район;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firstLine="851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направления писем (в т.ч. электронных);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firstLine="851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обращений в администрацию муниципального образования Ленинградский район через «виртуальную приемную» на сайте администрации муниципального образования Ленинградский район;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firstLine="851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обращений по телефону «горячей линии» с главой (каждый первый четверг месяца с 17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00 </w:t>
      </w:r>
      <w:r>
        <w:rPr>
          <w:sz w:val="28"/>
          <w:szCs w:val="28"/>
        </w:rPr>
        <w:t xml:space="preserve">ч. </w:t>
      </w:r>
      <w:r>
        <w:rPr>
          <w:sz w:val="28"/>
          <w:szCs w:val="28"/>
        </w:rPr>
        <w:t xml:space="preserve">до 18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00</w:t>
      </w:r>
      <w:r>
        <w:rPr>
          <w:sz w:val="28"/>
          <w:szCs w:val="28"/>
        </w:rPr>
        <w:t xml:space="preserve"> ч.</w:t>
      </w:r>
      <w:r>
        <w:rPr>
          <w:sz w:val="28"/>
          <w:szCs w:val="28"/>
        </w:rPr>
        <w:t xml:space="preserve">),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firstLine="851"/>
        <w:jc w:val="both"/>
        <w:spacing w:before="0" w:beforeAutospacing="0" w:after="0" w:afterAutospacing="0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Обращений (жалоб) граждан на коррупционное поведение со стороны должностных лиц администрации муниципального образования Ленинградский район в 2022 году не поступало.</w:t>
      </w:r>
      <w:r>
        <w:rPr>
          <w:b/>
          <w:sz w:val="28"/>
          <w:szCs w:val="28"/>
          <w:u w:val="single"/>
        </w:rPr>
      </w:r>
      <w:r>
        <w:rPr>
          <w:b/>
          <w:sz w:val="28"/>
          <w:szCs w:val="28"/>
          <w:u w:val="single"/>
        </w:rPr>
      </w:r>
    </w:p>
    <w:p>
      <w:pPr>
        <w:pStyle w:val="874"/>
        <w:ind w:right="-5" w:firstLine="900"/>
        <w:jc w:val="both"/>
        <w:spacing w:before="0" w:beforeAutospacing="0" w:after="0" w:afterAutospacing="0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</w:r>
      <w:r>
        <w:rPr>
          <w:b/>
          <w:sz w:val="16"/>
          <w:szCs w:val="16"/>
          <w:u w:val="single"/>
        </w:rPr>
      </w:r>
      <w:r>
        <w:rPr>
          <w:b/>
          <w:sz w:val="16"/>
          <w:szCs w:val="16"/>
          <w:u w:val="single"/>
        </w:rPr>
      </w:r>
    </w:p>
    <w:p>
      <w:pPr>
        <w:pStyle w:val="874"/>
        <w:ind w:right="-5" w:firstLine="900"/>
        <w:jc w:val="both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Решили: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numPr>
          <w:ilvl w:val="0"/>
          <w:numId w:val="8"/>
        </w:numPr>
        <w:ind w:right="-5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Информацию докладчиков принять к сведению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Совета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противодействию коррупции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сферах деятельности органов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Ленинградский район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В.Н.Шерстобитов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Совета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Д.Л.Головатский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1" w:bottom="992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ahoma">
    <w:panose1 w:val="020B0606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715357421"/>
      <w:docPartObj>
        <w:docPartGallery w:val="Page Numbers (Top of Page)"/>
        <w:docPartUnique w:val="true"/>
      </w:docPartObj>
      <w:rPr/>
    </w:sdtPr>
    <w:sdtContent>
      <w:p>
        <w:pPr>
          <w:pStyle w:val="88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3</w:t>
        </w:r>
        <w:r>
          <w:fldChar w:fldCharType="end"/>
        </w:r>
        <w:r/>
      </w:p>
    </w:sdtContent>
  </w:sdt>
  <w:p>
    <w:pPr>
      <w:pStyle w:val="88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  <w:tabs>
          <w:tab w:val="num" w:pos="1428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  <w:tabs>
          <w:tab w:val="num" w:pos="2148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  <w:tabs>
          <w:tab w:val="num" w:pos="2868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  <w:tabs>
          <w:tab w:val="num" w:pos="3588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  <w:tabs>
          <w:tab w:val="num" w:pos="4308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  <w:tabs>
          <w:tab w:val="num" w:pos="5028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  <w:tabs>
          <w:tab w:val="num" w:pos="5748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  <w:tabs>
          <w:tab w:val="num" w:pos="6468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  <w:tabs>
          <w:tab w:val="num" w:pos="7188" w:leader="none"/>
        </w:tabs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  <w:tabs>
          <w:tab w:val="num" w:pos="1428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  <w:tabs>
          <w:tab w:val="num" w:pos="2148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  <w:tabs>
          <w:tab w:val="num" w:pos="2868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  <w:tabs>
          <w:tab w:val="num" w:pos="3588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  <w:tabs>
          <w:tab w:val="num" w:pos="4308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  <w:tabs>
          <w:tab w:val="num" w:pos="5028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  <w:tabs>
          <w:tab w:val="num" w:pos="5748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  <w:tabs>
          <w:tab w:val="num" w:pos="6468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  <w:tabs>
          <w:tab w:val="num" w:pos="7188" w:leader="none"/>
        </w:tabs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3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80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6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2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4">
    <w:name w:val="Heading 1 Char"/>
    <w:basedOn w:val="868"/>
    <w:link w:val="866"/>
    <w:uiPriority w:val="9"/>
    <w:rPr>
      <w:rFonts w:ascii="Arial" w:hAnsi="Arial" w:eastAsia="Arial" w:cs="Arial"/>
      <w:sz w:val="40"/>
      <w:szCs w:val="40"/>
    </w:rPr>
  </w:style>
  <w:style w:type="character" w:styleId="695">
    <w:name w:val="Heading 2 Char"/>
    <w:basedOn w:val="868"/>
    <w:link w:val="867"/>
    <w:uiPriority w:val="9"/>
    <w:rPr>
      <w:rFonts w:ascii="Arial" w:hAnsi="Arial" w:eastAsia="Arial" w:cs="Arial"/>
      <w:sz w:val="34"/>
    </w:rPr>
  </w:style>
  <w:style w:type="paragraph" w:styleId="696">
    <w:name w:val="Heading 3"/>
    <w:basedOn w:val="865"/>
    <w:next w:val="865"/>
    <w:link w:val="6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7">
    <w:name w:val="Heading 3 Char"/>
    <w:basedOn w:val="868"/>
    <w:link w:val="696"/>
    <w:uiPriority w:val="9"/>
    <w:rPr>
      <w:rFonts w:ascii="Arial" w:hAnsi="Arial" w:eastAsia="Arial" w:cs="Arial"/>
      <w:sz w:val="30"/>
      <w:szCs w:val="30"/>
    </w:rPr>
  </w:style>
  <w:style w:type="paragraph" w:styleId="698">
    <w:name w:val="Heading 4"/>
    <w:basedOn w:val="865"/>
    <w:next w:val="865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9">
    <w:name w:val="Heading 4 Char"/>
    <w:basedOn w:val="868"/>
    <w:link w:val="698"/>
    <w:uiPriority w:val="9"/>
    <w:rPr>
      <w:rFonts w:ascii="Arial" w:hAnsi="Arial" w:eastAsia="Arial" w:cs="Arial"/>
      <w:b/>
      <w:bCs/>
      <w:sz w:val="26"/>
      <w:szCs w:val="26"/>
    </w:rPr>
  </w:style>
  <w:style w:type="paragraph" w:styleId="700">
    <w:name w:val="Heading 5"/>
    <w:basedOn w:val="865"/>
    <w:next w:val="865"/>
    <w:link w:val="7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1">
    <w:name w:val="Heading 5 Char"/>
    <w:basedOn w:val="868"/>
    <w:link w:val="700"/>
    <w:uiPriority w:val="9"/>
    <w:rPr>
      <w:rFonts w:ascii="Arial" w:hAnsi="Arial" w:eastAsia="Arial" w:cs="Arial"/>
      <w:b/>
      <w:bCs/>
      <w:sz w:val="24"/>
      <w:szCs w:val="24"/>
    </w:rPr>
  </w:style>
  <w:style w:type="paragraph" w:styleId="702">
    <w:name w:val="Heading 6"/>
    <w:basedOn w:val="865"/>
    <w:next w:val="865"/>
    <w:link w:val="7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3">
    <w:name w:val="Heading 6 Char"/>
    <w:basedOn w:val="868"/>
    <w:link w:val="702"/>
    <w:uiPriority w:val="9"/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865"/>
    <w:next w:val="865"/>
    <w:link w:val="7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5">
    <w:name w:val="Heading 7 Char"/>
    <w:basedOn w:val="868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6">
    <w:name w:val="Heading 8"/>
    <w:basedOn w:val="865"/>
    <w:next w:val="865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7">
    <w:name w:val="Heading 8 Char"/>
    <w:basedOn w:val="868"/>
    <w:link w:val="706"/>
    <w:uiPriority w:val="9"/>
    <w:rPr>
      <w:rFonts w:ascii="Arial" w:hAnsi="Arial" w:eastAsia="Arial" w:cs="Arial"/>
      <w:i/>
      <w:iCs/>
      <w:sz w:val="22"/>
      <w:szCs w:val="22"/>
    </w:rPr>
  </w:style>
  <w:style w:type="paragraph" w:styleId="708">
    <w:name w:val="Heading 9"/>
    <w:basedOn w:val="865"/>
    <w:next w:val="865"/>
    <w:link w:val="7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>
    <w:name w:val="Heading 9 Char"/>
    <w:basedOn w:val="868"/>
    <w:link w:val="708"/>
    <w:uiPriority w:val="9"/>
    <w:rPr>
      <w:rFonts w:ascii="Arial" w:hAnsi="Arial" w:eastAsia="Arial" w:cs="Arial"/>
      <w:i/>
      <w:iCs/>
      <w:sz w:val="21"/>
      <w:szCs w:val="21"/>
    </w:rPr>
  </w:style>
  <w:style w:type="paragraph" w:styleId="710">
    <w:name w:val="No Spacing"/>
    <w:uiPriority w:val="1"/>
    <w:qFormat/>
    <w:pPr>
      <w:spacing w:before="0" w:after="0" w:line="240" w:lineRule="auto"/>
    </w:pPr>
  </w:style>
  <w:style w:type="paragraph" w:styleId="711">
    <w:name w:val="Title"/>
    <w:basedOn w:val="865"/>
    <w:next w:val="865"/>
    <w:link w:val="71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2">
    <w:name w:val="Title Char"/>
    <w:basedOn w:val="868"/>
    <w:link w:val="711"/>
    <w:uiPriority w:val="10"/>
    <w:rPr>
      <w:sz w:val="48"/>
      <w:szCs w:val="48"/>
    </w:rPr>
  </w:style>
  <w:style w:type="paragraph" w:styleId="713">
    <w:name w:val="Subtitle"/>
    <w:basedOn w:val="865"/>
    <w:next w:val="865"/>
    <w:link w:val="714"/>
    <w:uiPriority w:val="11"/>
    <w:qFormat/>
    <w:pPr>
      <w:spacing w:before="200" w:after="200"/>
    </w:pPr>
    <w:rPr>
      <w:sz w:val="24"/>
      <w:szCs w:val="24"/>
    </w:rPr>
  </w:style>
  <w:style w:type="character" w:styleId="714">
    <w:name w:val="Subtitle Char"/>
    <w:basedOn w:val="868"/>
    <w:link w:val="713"/>
    <w:uiPriority w:val="11"/>
    <w:rPr>
      <w:sz w:val="24"/>
      <w:szCs w:val="24"/>
    </w:rPr>
  </w:style>
  <w:style w:type="paragraph" w:styleId="715">
    <w:name w:val="Quote"/>
    <w:basedOn w:val="865"/>
    <w:next w:val="865"/>
    <w:link w:val="716"/>
    <w:uiPriority w:val="29"/>
    <w:qFormat/>
    <w:pPr>
      <w:ind w:left="720" w:right="720"/>
    </w:pPr>
    <w:rPr>
      <w:i/>
    </w:rPr>
  </w:style>
  <w:style w:type="character" w:styleId="716">
    <w:name w:val="Quote Char"/>
    <w:link w:val="715"/>
    <w:uiPriority w:val="29"/>
    <w:rPr>
      <w:i/>
    </w:rPr>
  </w:style>
  <w:style w:type="paragraph" w:styleId="717">
    <w:name w:val="Intense Quote"/>
    <w:basedOn w:val="865"/>
    <w:next w:val="865"/>
    <w:link w:val="71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8">
    <w:name w:val="Intense Quote Char"/>
    <w:link w:val="717"/>
    <w:uiPriority w:val="30"/>
    <w:rPr>
      <w:i/>
    </w:rPr>
  </w:style>
  <w:style w:type="character" w:styleId="719">
    <w:name w:val="Header Char"/>
    <w:basedOn w:val="868"/>
    <w:link w:val="881"/>
    <w:uiPriority w:val="99"/>
  </w:style>
  <w:style w:type="character" w:styleId="720">
    <w:name w:val="Footer Char"/>
    <w:basedOn w:val="868"/>
    <w:link w:val="883"/>
    <w:uiPriority w:val="99"/>
  </w:style>
  <w:style w:type="paragraph" w:styleId="721">
    <w:name w:val="Caption"/>
    <w:basedOn w:val="865"/>
    <w:next w:val="86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2">
    <w:name w:val="Caption Char"/>
    <w:basedOn w:val="721"/>
    <w:link w:val="883"/>
    <w:uiPriority w:val="99"/>
  </w:style>
  <w:style w:type="table" w:styleId="723">
    <w:name w:val="Table Grid Light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2">
    <w:name w:val="List Table 7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3">
    <w:name w:val="List Table 7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4">
    <w:name w:val="List Table 7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5">
    <w:name w:val="List Table 7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6">
    <w:name w:val="List Table 7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7">
    <w:name w:val="Lined - Accent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Lined - Accent 2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Lined - Accent 3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Lined - Accent 4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Lined - Accent 5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Lined - Accent 6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 &amp; Lined - Accent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Bordered &amp; Lined - Accent 2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Bordered &amp; Lined - Accent 3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Bordered &amp; Lined - Accent 4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Bordered &amp; Lined - Accent 5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Bordered &amp; Lined - Accent 6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8">
    <w:name w:val="footnote text"/>
    <w:basedOn w:val="865"/>
    <w:link w:val="849"/>
    <w:uiPriority w:val="99"/>
    <w:semiHidden/>
    <w:unhideWhenUsed/>
    <w:pPr>
      <w:spacing w:after="40" w:line="240" w:lineRule="auto"/>
    </w:pPr>
    <w:rPr>
      <w:sz w:val="18"/>
    </w:rPr>
  </w:style>
  <w:style w:type="character" w:styleId="849">
    <w:name w:val="Footnote Text Char"/>
    <w:link w:val="848"/>
    <w:uiPriority w:val="99"/>
    <w:rPr>
      <w:sz w:val="18"/>
    </w:rPr>
  </w:style>
  <w:style w:type="character" w:styleId="850">
    <w:name w:val="footnote reference"/>
    <w:basedOn w:val="868"/>
    <w:uiPriority w:val="99"/>
    <w:unhideWhenUsed/>
    <w:rPr>
      <w:vertAlign w:val="superscript"/>
    </w:rPr>
  </w:style>
  <w:style w:type="paragraph" w:styleId="851">
    <w:name w:val="endnote text"/>
    <w:basedOn w:val="865"/>
    <w:link w:val="852"/>
    <w:uiPriority w:val="99"/>
    <w:semiHidden/>
    <w:unhideWhenUsed/>
    <w:pPr>
      <w:spacing w:after="0" w:line="240" w:lineRule="auto"/>
    </w:pPr>
    <w:rPr>
      <w:sz w:val="20"/>
    </w:rPr>
  </w:style>
  <w:style w:type="character" w:styleId="852">
    <w:name w:val="Endnote Text Char"/>
    <w:link w:val="851"/>
    <w:uiPriority w:val="99"/>
    <w:rPr>
      <w:sz w:val="20"/>
    </w:rPr>
  </w:style>
  <w:style w:type="character" w:styleId="853">
    <w:name w:val="endnote reference"/>
    <w:basedOn w:val="868"/>
    <w:uiPriority w:val="99"/>
    <w:semiHidden/>
    <w:unhideWhenUsed/>
    <w:rPr>
      <w:vertAlign w:val="superscript"/>
    </w:rPr>
  </w:style>
  <w:style w:type="paragraph" w:styleId="854">
    <w:name w:val="toc 1"/>
    <w:basedOn w:val="865"/>
    <w:next w:val="865"/>
    <w:uiPriority w:val="39"/>
    <w:unhideWhenUsed/>
    <w:pPr>
      <w:ind w:left="0" w:right="0" w:firstLine="0"/>
      <w:spacing w:after="57"/>
    </w:pPr>
  </w:style>
  <w:style w:type="paragraph" w:styleId="855">
    <w:name w:val="toc 2"/>
    <w:basedOn w:val="865"/>
    <w:next w:val="865"/>
    <w:uiPriority w:val="39"/>
    <w:unhideWhenUsed/>
    <w:pPr>
      <w:ind w:left="283" w:right="0" w:firstLine="0"/>
      <w:spacing w:after="57"/>
    </w:pPr>
  </w:style>
  <w:style w:type="paragraph" w:styleId="856">
    <w:name w:val="toc 3"/>
    <w:basedOn w:val="865"/>
    <w:next w:val="865"/>
    <w:uiPriority w:val="39"/>
    <w:unhideWhenUsed/>
    <w:pPr>
      <w:ind w:left="567" w:right="0" w:firstLine="0"/>
      <w:spacing w:after="57"/>
    </w:pPr>
  </w:style>
  <w:style w:type="paragraph" w:styleId="857">
    <w:name w:val="toc 4"/>
    <w:basedOn w:val="865"/>
    <w:next w:val="865"/>
    <w:uiPriority w:val="39"/>
    <w:unhideWhenUsed/>
    <w:pPr>
      <w:ind w:left="850" w:right="0" w:firstLine="0"/>
      <w:spacing w:after="57"/>
    </w:pPr>
  </w:style>
  <w:style w:type="paragraph" w:styleId="858">
    <w:name w:val="toc 5"/>
    <w:basedOn w:val="865"/>
    <w:next w:val="865"/>
    <w:uiPriority w:val="39"/>
    <w:unhideWhenUsed/>
    <w:pPr>
      <w:ind w:left="1134" w:right="0" w:firstLine="0"/>
      <w:spacing w:after="57"/>
    </w:pPr>
  </w:style>
  <w:style w:type="paragraph" w:styleId="859">
    <w:name w:val="toc 6"/>
    <w:basedOn w:val="865"/>
    <w:next w:val="865"/>
    <w:uiPriority w:val="39"/>
    <w:unhideWhenUsed/>
    <w:pPr>
      <w:ind w:left="1417" w:right="0" w:firstLine="0"/>
      <w:spacing w:after="57"/>
    </w:pPr>
  </w:style>
  <w:style w:type="paragraph" w:styleId="860">
    <w:name w:val="toc 7"/>
    <w:basedOn w:val="865"/>
    <w:next w:val="865"/>
    <w:uiPriority w:val="39"/>
    <w:unhideWhenUsed/>
    <w:pPr>
      <w:ind w:left="1701" w:right="0" w:firstLine="0"/>
      <w:spacing w:after="57"/>
    </w:pPr>
  </w:style>
  <w:style w:type="paragraph" w:styleId="861">
    <w:name w:val="toc 8"/>
    <w:basedOn w:val="865"/>
    <w:next w:val="865"/>
    <w:uiPriority w:val="39"/>
    <w:unhideWhenUsed/>
    <w:pPr>
      <w:ind w:left="1984" w:right="0" w:firstLine="0"/>
      <w:spacing w:after="57"/>
    </w:pPr>
  </w:style>
  <w:style w:type="paragraph" w:styleId="862">
    <w:name w:val="toc 9"/>
    <w:basedOn w:val="865"/>
    <w:next w:val="865"/>
    <w:uiPriority w:val="39"/>
    <w:unhideWhenUsed/>
    <w:pPr>
      <w:ind w:left="2268" w:right="0" w:firstLine="0"/>
      <w:spacing w:after="57"/>
    </w:pPr>
  </w:style>
  <w:style w:type="paragraph" w:styleId="863">
    <w:name w:val="TOC Heading"/>
    <w:uiPriority w:val="39"/>
    <w:unhideWhenUsed/>
  </w:style>
  <w:style w:type="paragraph" w:styleId="864">
    <w:name w:val="table of figures"/>
    <w:basedOn w:val="865"/>
    <w:next w:val="865"/>
    <w:uiPriority w:val="99"/>
    <w:unhideWhenUsed/>
    <w:pPr>
      <w:spacing w:after="0" w:afterAutospacing="0"/>
    </w:pPr>
  </w:style>
  <w:style w:type="paragraph" w:styleId="865" w:default="1">
    <w:name w:val="Normal"/>
    <w:qFormat/>
  </w:style>
  <w:style w:type="paragraph" w:styleId="866">
    <w:name w:val="Heading 1"/>
    <w:basedOn w:val="865"/>
    <w:next w:val="865"/>
    <w:link w:val="879"/>
    <w:uiPriority w:val="9"/>
    <w:qFormat/>
    <w:pPr>
      <w:keepLines/>
      <w:keepNext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867">
    <w:name w:val="Heading 2"/>
    <w:basedOn w:val="865"/>
    <w:link w:val="873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868" w:default="1">
    <w:name w:val="Default Paragraph Font"/>
    <w:uiPriority w:val="1"/>
    <w:semiHidden/>
    <w:unhideWhenUsed/>
  </w:style>
  <w:style w:type="table" w:styleId="8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0" w:default="1">
    <w:name w:val="No List"/>
    <w:uiPriority w:val="99"/>
    <w:semiHidden/>
    <w:unhideWhenUsed/>
  </w:style>
  <w:style w:type="table" w:styleId="871">
    <w:name w:val="Table Grid"/>
    <w:basedOn w:val="86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72">
    <w:name w:val="List Paragraph"/>
    <w:basedOn w:val="865"/>
    <w:uiPriority w:val="34"/>
    <w:qFormat/>
    <w:pPr>
      <w:contextualSpacing/>
      <w:ind w:left="720"/>
    </w:pPr>
  </w:style>
  <w:style w:type="character" w:styleId="873" w:customStyle="1">
    <w:name w:val="Заголовок 2 Знак"/>
    <w:basedOn w:val="868"/>
    <w:link w:val="867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874">
    <w:name w:val="Normal (Web)"/>
    <w:basedOn w:val="865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5">
    <w:name w:val="Balloon Text"/>
    <w:basedOn w:val="865"/>
    <w:link w:val="87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6" w:customStyle="1">
    <w:name w:val="Текст выноски Знак"/>
    <w:basedOn w:val="868"/>
    <w:link w:val="875"/>
    <w:uiPriority w:val="99"/>
    <w:semiHidden/>
    <w:rPr>
      <w:rFonts w:ascii="Tahoma" w:hAnsi="Tahoma" w:cs="Tahoma"/>
      <w:sz w:val="16"/>
      <w:szCs w:val="16"/>
    </w:rPr>
  </w:style>
  <w:style w:type="character" w:styleId="877">
    <w:name w:val="Hyperlink"/>
    <w:basedOn w:val="868"/>
    <w:rPr>
      <w:color w:val="0000ff"/>
      <w:u w:val="single"/>
    </w:rPr>
  </w:style>
  <w:style w:type="paragraph" w:styleId="878" w:customStyle="1">
    <w:name w:val="Знак Знак Знак Знак Знак Знак Знак Знак Знак Знак"/>
    <w:basedOn w:val="865"/>
    <w:pPr>
      <w:jc w:val="right"/>
      <w:spacing w:after="160" w:line="240" w:lineRule="exact"/>
      <w:widowControl w:val="off"/>
    </w:pPr>
    <w:rPr>
      <w:rFonts w:ascii="Times New Roman" w:hAnsi="Times New Roman" w:eastAsia="Times New Roman" w:cs="Times New Roman"/>
      <w:sz w:val="20"/>
      <w:szCs w:val="20"/>
      <w:lang w:val="en-GB"/>
    </w:rPr>
  </w:style>
  <w:style w:type="character" w:styleId="879" w:customStyle="1">
    <w:name w:val="Заголовок 1 Знак"/>
    <w:basedOn w:val="868"/>
    <w:link w:val="866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880" w:customStyle="1">
    <w:name w:val="ConsPlusTitle"/>
    <w:pPr>
      <w:spacing w:after="0" w:line="240" w:lineRule="auto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881">
    <w:name w:val="Header"/>
    <w:basedOn w:val="865"/>
    <w:link w:val="88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2" w:customStyle="1">
    <w:name w:val="Верхний колонтитул Знак"/>
    <w:basedOn w:val="868"/>
    <w:link w:val="881"/>
    <w:uiPriority w:val="99"/>
  </w:style>
  <w:style w:type="paragraph" w:styleId="883">
    <w:name w:val="Footer"/>
    <w:basedOn w:val="865"/>
    <w:link w:val="88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4" w:customStyle="1">
    <w:name w:val="Нижний колонтитул Знак"/>
    <w:basedOn w:val="868"/>
    <w:link w:val="883"/>
    <w:uiPriority w:val="99"/>
  </w:style>
  <w:style w:type="table" w:styleId="885" w:customStyle="1">
    <w:name w:val="Сетка таблицы1"/>
    <w:basedOn w:val="869"/>
    <w:next w:val="87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1_4311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hart" Target="charts/chart1.xml" /><Relationship Id="rId11" Type="http://schemas.openxmlformats.org/officeDocument/2006/relationships/chart" Target="charts/chart2.xml" /><Relationship Id="rId12" Type="http://schemas.openxmlformats.org/officeDocument/2006/relationships/chart" Target="charts/chart3.xml" /><Relationship Id="rId13" Type="http://schemas.openxmlformats.org/officeDocument/2006/relationships/chart" Target="charts/chart4.xml" /><Relationship Id="rId14" Type="http://schemas.openxmlformats.org/officeDocument/2006/relationships/chart" Target="charts/chart5.xml" /><Relationship Id="rId15" Type="http://schemas.openxmlformats.org/officeDocument/2006/relationships/chart" Target="charts/chart6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charts/_rels/chart1.xml.rels><?xml version="1.0" encoding="UTF-8" standalone="yes"?><Relationships xmlns="http://schemas.openxmlformats.org/package/2006/relationships"><Relationship Id="rId1" Type="http://schemas.openxmlformats.org/officeDocument/2006/relationships/package" Target="../embeddings/Microsoft_Excel_Worksheet1.xlsx" /></Relationships>
</file>

<file path=word/charts/_rels/chart2.xml.rels><?xml version="1.0" encoding="UTF-8" standalone="yes"?><Relationships xmlns="http://schemas.openxmlformats.org/package/2006/relationships"><Relationship Id="rId1" Type="http://schemas.openxmlformats.org/officeDocument/2006/relationships/package" Target="../embeddings/Microsoft_Excel_Worksheet2.xlsx" /></Relationships>
</file>

<file path=word/charts/_rels/chart3.xml.rels><?xml version="1.0" encoding="UTF-8" standalone="yes"?><Relationships xmlns="http://schemas.openxmlformats.org/package/2006/relationships"><Relationship Id="rId1" Type="http://schemas.openxmlformats.org/officeDocument/2006/relationships/package" Target="../embeddings/Microsoft_Excel_Worksheet3.xlsx" /></Relationships>
</file>

<file path=word/charts/_rels/chart4.xml.rels><?xml version="1.0" encoding="UTF-8" standalone="yes"?><Relationships xmlns="http://schemas.openxmlformats.org/package/2006/relationships"><Relationship Id="rId1" Type="http://schemas.openxmlformats.org/officeDocument/2006/relationships/package" Target="../embeddings/Microsoft_Excel_Worksheet4.xlsx" /></Relationships>
</file>

<file path=word/charts/_rels/chart5.xml.rels><?xml version="1.0" encoding="UTF-8" standalone="yes"?><Relationships xmlns="http://schemas.openxmlformats.org/package/2006/relationships"><Relationship Id="rId1" Type="http://schemas.openxmlformats.org/officeDocument/2006/relationships/package" Target="../embeddings/Microsoft_Excel_Worksheet5.xlsx" /></Relationships>
</file>

<file path=word/charts/_rels/chart6.xml.rels><?xml version="1.0" encoding="UTF-8" standalone="yes"?><Relationships xmlns="http://schemas.openxmlformats.org/package/2006/relationships"><Relationship Id="rId1" Type="http://schemas.openxmlformats.org/officeDocument/2006/relationships/package" Target="../embeddings/Microsoft_Excel_Worksheet6.xlsx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/>
                <a:cs typeface="Times New Roman"/>
              </a:defRPr>
            </a:pPr>
            <a:r>
              <a:rPr lang="ru-RU" sz="1400" b="1" i="0" u="none" strike="noStrike">
                <a:latin typeface="Times New Roman"/>
                <a:cs typeface="Times New Roman"/>
              </a:rPr>
              <a:t>Структура возростного состава анкетируемых лиц</a:t>
            </a:r>
            <a:endParaRPr lang="ru-RU" sz="1400">
              <a:latin typeface="Times New Roman"/>
              <a:cs typeface="Times New Roman"/>
            </a:endParaRP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043240"/>
          <c:y val="0.139360"/>
          <c:w val="0.953590"/>
          <c:h val="0.740220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 xml:space="preserve">Ряд 1</c:v>
                </c:pt>
              </c:strCache>
            </c:strRef>
          </c:tx>
          <c:spPr bwMode="auto"/>
          <c:invertIfNegative val="0"/>
          <c:dLbls>
            <c:dLbl>
              <c:idx val="0"/>
              <c:layout>
                <c:manualLayout>
                  <c:x val="0.021090"/>
                  <c:y val="-0.031740"/>
                </c:manualLayout>
              </c:layout>
              <c:showBubbleSize val="0"/>
              <c:showCatName val="0"/>
              <c:showLegendKey val="0"/>
              <c:showPercent val="0"/>
              <c:showSerName val="0"/>
              <c:showVal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40</a:t>
                    </a:r>
                    <a:endParaRPr/>
                  </a:p>
                </c:rich>
              </c:tx>
            </c:dLbl>
            <c:dLbl>
              <c:idx val="1"/>
              <c:layout>
                <c:manualLayout>
                  <c:x val="0.023200"/>
                  <c:y val="-0.039680"/>
                </c:manualLayout>
              </c:layout>
              <c:showBubbleSize val="0"/>
              <c:showCatName val="0"/>
              <c:showLegendKey val="0"/>
              <c:showPercent val="0"/>
              <c:showSerName val="0"/>
              <c:showVal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119</a:t>
                    </a:r>
                    <a:endParaRPr/>
                  </a:p>
                </c:rich>
              </c:tx>
            </c:dLbl>
            <c:dLbl>
              <c:idx val="2"/>
              <c:layout>
                <c:manualLayout>
                  <c:x val="0.029530"/>
                  <c:y val="-0.043650"/>
                </c:manualLayout>
              </c:layout>
              <c:showBubbleSize val="0"/>
              <c:showCatName val="0"/>
              <c:showLegendKey val="0"/>
              <c:showPercent val="0"/>
              <c:showSerName val="0"/>
              <c:showVal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41</a:t>
                    </a:r>
                    <a:endParaRPr/>
                  </a:p>
                </c:rich>
              </c:tx>
            </c:dLbl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/>
                    <a:cs typeface="Times New Roman"/>
                  </a:defRPr>
                </a:pPr>
                <a:endParaRPr lang="ru-RU"/>
              </a:p>
            </c:txPr>
          </c:dLbls>
          <c:cat>
            <c:strRef>
              <c:f>Лист1!$A$2:$A$4</c:f>
              <c:strCache>
                <c:ptCount val="3"/>
                <c:pt idx="0">
                  <c:v xml:space="preserve">18-34 года</c:v>
                </c:pt>
                <c:pt idx="1">
                  <c:v xml:space="preserve">35-54 года</c:v>
                </c:pt>
                <c:pt idx="2">
                  <c:v xml:space="preserve">55 и выше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22</c:v>
                </c:pt>
                <c:pt idx="1">
                  <c:v>134</c:v>
                </c:pt>
                <c:pt idx="2">
                  <c:v>44</c:v>
                </c:pt>
              </c:numCache>
            </c:numRef>
          </c:val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1"/>
        </c:dLbls>
        <c:gapWidth val="150"/>
        <c:gapDepth val="171"/>
        <c:shape val="box"/>
        <c:axId val="2140789895"/>
        <c:axId val="2140789896"/>
      </c:bar3DChart>
      <c:catAx>
        <c:axId val="2140789895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/>
                <a:cs typeface="Times New Roman"/>
              </a:defRPr>
            </a:pPr>
            <a:endParaRPr lang="ru-RU"/>
          </a:p>
        </c:txPr>
        <c:crossAx val="2140789896"/>
        <c:crosses val="autoZero"/>
        <c:auto val="1"/>
        <c:lblAlgn val="ctr"/>
        <c:lblOffset val="100"/>
        <c:noMultiLvlLbl val="0"/>
      </c:catAx>
      <c:valAx>
        <c:axId val="214078989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140789895"/>
        <c:crosses val="autoZero"/>
        <c:crossBetween val="between"/>
      </c:valAx>
    </c:plotArea>
    <c:plotVisOnly val="1"/>
    <c:dispBlanksAs val="gap"/>
    <c:showDLblsOverMax val="0"/>
  </c:chart>
  <c:spPr bwMode="auto">
    <a:xfrm>
      <a:off x="0" y="0"/>
      <a:ext cx="6019799" cy="2447924"/>
    </a:xfrm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50">
                <a:latin typeface="Times New Roman"/>
                <a:cs typeface="Times New Roman"/>
              </a:defRPr>
            </a:pPr>
            <a:r>
              <a:rPr lang="ru-RU" sz="1250" b="1" i="0">
                <a:latin typeface="Times New Roman"/>
                <a:cs typeface="Times New Roman"/>
              </a:rPr>
              <a:t>Оценка степени доверия к органам местного самоуправления муниципального образования по десятибалльной шкале, где "10" самый высокий уровень доверия, а "1" – самый низкий уровень доверия,          человек</a:t>
            </a:r>
            <a:endParaRPr lang="ru-RU" sz="1250">
              <a:latin typeface="Times New Roman"/>
              <a:cs typeface="Times New Roman"/>
            </a:endParaRPr>
          </a:p>
        </c:rich>
      </c:tx>
      <c:layout>
        <c:manualLayout>
          <c:x val="0.017650"/>
          <c:y val="0.02346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095110"/>
          <c:y val="0.296940"/>
          <c:w val="0.894620"/>
          <c:h val="0.617340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 xml:space="preserve">Ряд 1</c:v>
                </c:pt>
              </c:strCache>
            </c:strRef>
          </c:tx>
          <c:invertIfNegative val="0"/>
          <c:dLbls>
            <c:dLbl>
              <c:idx val="0"/>
              <c:dLblPos val="ctr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8</a:t>
                    </a:r>
                    <a:endParaRPr/>
                  </a:p>
                </c:rich>
              </c:tx>
            </c:dLbl>
            <c:dLbl>
              <c:idx val="1"/>
              <c:dLblPos val="ctr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11</a:t>
                    </a:r>
                    <a:endParaRPr/>
                  </a:p>
                </c:rich>
              </c:tx>
            </c:dLbl>
            <c:dLbl>
              <c:idx val="3"/>
              <c:dLblPos val="ctr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10</a:t>
                    </a:r>
                    <a:endParaRPr/>
                  </a:p>
                </c:rich>
              </c:tx>
            </c:dLbl>
            <c:dLbl>
              <c:idx val="5"/>
              <c:dLblPos val="ctr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19</a:t>
                    </a:r>
                    <a:endParaRPr/>
                  </a:p>
                </c:rich>
              </c:tx>
            </c:dLbl>
            <c:dLbl>
              <c:idx val="6"/>
              <c:dLblPos val="ctr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24</a:t>
                    </a:r>
                    <a:endParaRPr/>
                  </a:p>
                </c:rich>
              </c:tx>
            </c:dLbl>
            <c:dLbl>
              <c:idx val="7"/>
              <c:dLblPos val="ctr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19</a:t>
                    </a:r>
                    <a:endParaRPr/>
                  </a:p>
                </c:rich>
              </c:tx>
            </c:dLbl>
            <c:dLbl>
              <c:idx val="8"/>
              <c:dLblPos val="ctr"/>
              <c:layout/>
              <c:numFmt formatCode="General" sourceLinked="0"/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  <a:effectLst/>
              </c:spPr>
              <c:tx>
                <c:rich>
                  <a:bodyPr wrap="square" lIns="38099" tIns="19049" rIns="38099" bIns="19049" anchor="ctr">
                    <a:spAutoFit/>
                  </a:bodyPr>
                  <a:lstStyle/>
                  <a:p>
                    <a:pPr>
                      <a:defRPr/>
                    </a:pPr>
                    <a:r>
                      <a:rPr lang="en-US"/>
                      <a:t>20</a:t>
                    </a:r>
                    <a:endParaRPr/>
                  </a:p>
                </c:rich>
              </c:tx>
            </c:dLbl>
            <c:dLbl>
              <c:idx val="9"/>
              <c:dLblPos val="ctr"/>
              <c:layout/>
              <c:numFmt formatCode="#,##0.00" sourceLinked="0"/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  <a:effectLst/>
              </c:spPr>
              <c:tx>
                <c:rich>
                  <a:bodyPr wrap="square" lIns="38099" tIns="19049" rIns="38099" bIns="19049" anchor="ctr">
                    <a:spAutoFit/>
                  </a:bodyPr>
                  <a:lstStyle/>
                  <a:p>
                    <a:pPr>
                      <a:defRPr/>
                    </a:pPr>
                    <a:r>
                      <a:rPr lang="en-US"/>
                      <a:t>70</a:t>
                    </a:r>
                    <a:endParaRPr/>
                  </a:p>
                </c:rich>
              </c:tx>
            </c:dLbl>
            <c:dLblPos val="ctr"/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</c:dLbls>
          <c:val>
            <c:numRef>
              <c:f>Лист1!$B$2:$B$11</c:f>
              <c:numCache>
                <c:formatCode>General</c:formatCode>
                <c:ptCount val="10"/>
                <c:pt idx="0">
                  <c:v>8</c:v>
                </c:pt>
                <c:pt idx="1">
                  <c:v>11</c:v>
                </c:pt>
                <c:pt idx="2">
                  <c:v>12</c:v>
                </c:pt>
                <c:pt idx="3">
                  <c:v>10</c:v>
                </c:pt>
                <c:pt idx="4">
                  <c:v>24</c:v>
                </c:pt>
                <c:pt idx="5">
                  <c:v>19</c:v>
                </c:pt>
                <c:pt idx="6">
                  <c:v>24</c:v>
                </c:pt>
                <c:pt idx="7">
                  <c:v>19</c:v>
                </c:pt>
                <c:pt idx="8">
                  <c:v>20</c:v>
                </c:pt>
                <c:pt idx="9">
                  <c:v>70</c:v>
                </c:pt>
              </c:numCache>
            </c:numRef>
          </c:val>
        </c:ser>
        <c:dLbls>
          <c:dLblPos val="ctr"/>
          <c:showBubbleSize val="0"/>
          <c:showCatName val="0"/>
          <c:showLeaderLines val="0"/>
          <c:showLegendKey val="0"/>
          <c:showPercent val="0"/>
          <c:showSerName val="0"/>
          <c:showVal val="1"/>
        </c:dLbls>
        <c:gapWidth val="150"/>
        <c:overlap val="100"/>
        <c:axId val="2140789897"/>
        <c:axId val="2140789898"/>
      </c:barChart>
      <c:catAx>
        <c:axId val="2140789897"/>
        <c:scaling>
          <c:orientation val="minMax"/>
        </c:scaling>
        <c:delete val="0"/>
        <c:axPos val="b"/>
        <c:majorGridlines>
          <c:spPr bwMode="auto"/>
        </c:majorGridlines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/>
                <a:cs typeface="Times New Roman"/>
              </a:defRPr>
            </a:pPr>
            <a:endParaRPr lang="ru-RU"/>
          </a:p>
        </c:txPr>
        <c:crossAx val="2140789898"/>
        <c:crosses val="autoZero"/>
        <c:auto val="1"/>
        <c:lblAlgn val="ctr"/>
        <c:lblOffset val="100"/>
        <c:noMultiLvlLbl val="0"/>
      </c:catAx>
      <c:valAx>
        <c:axId val="2140789898"/>
        <c:scaling>
          <c:orientation val="minMax"/>
        </c:scaling>
        <c:delete val="1"/>
        <c:axPos val="l"/>
        <c:majorGridlines>
          <c:spPr bwMode="auto"/>
        </c:majorGridlines>
        <c:numFmt formatCode="General" sourceLinked="1"/>
        <c:majorTickMark val="out"/>
        <c:minorTickMark val="none"/>
        <c:tickLblPos val="nextTo"/>
        <c:crossAx val="2140789897"/>
        <c:crosses val="autoZero"/>
        <c:crossBetween val="between"/>
      </c:valAx>
    </c:plotArea>
    <c:plotVisOnly val="1"/>
    <c:dispBlanksAs val="gap"/>
    <c:showDLblsOverMax val="0"/>
  </c:chart>
  <c:spPr bwMode="auto">
    <a:xfrm>
      <a:off x="0" y="0"/>
      <a:ext cx="6086471" cy="3248020"/>
    </a:xfrm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imes New Roman"/>
                <a:cs typeface="Times New Roman"/>
              </a:defRPr>
            </a:pPr>
            <a:r>
              <a:rPr lang="ru-RU" sz="1200" b="1" i="0">
                <a:latin typeface="Times New Roman"/>
                <a:cs typeface="Times New Roman"/>
              </a:rPr>
              <a:t>Оценка коррумпированности органов местного самоуправления по десятибалльной шкале, где "10" самый высокий уровень коррумпированности, "1" – самый низкий уровень коррумпированности, а "0" – полное отсутствие коррупции,       человек</a:t>
            </a:r>
            <a:endParaRPr lang="ru-RU" sz="1200">
              <a:latin typeface="Times New Roman"/>
              <a:cs typeface="Times New Roman"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0700"/>
          <c:y val="0.340510"/>
          <c:w val="0.903810"/>
          <c:h val="0.540570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dLblPos val="outEnd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23</a:t>
                    </a:r>
                    <a:endParaRPr/>
                  </a:p>
                </c:rich>
              </c:tx>
            </c:dLbl>
            <c:dLbl>
              <c:idx val="5"/>
              <c:dLblPos val="outEnd"/>
              <c:layout>
                <c:manualLayout>
                  <c:x val="0.008300"/>
                  <c:y val="0.003870"/>
                </c:manualLayout>
              </c:layout>
              <c:showBubbleSize val="0"/>
              <c:showCatName val="0"/>
              <c:showLegendKey val="0"/>
              <c:showPercent val="0"/>
              <c:showSerName val="0"/>
              <c:showVal val="1"/>
            </c:dLbl>
            <c:dLblPos val="outEnd"/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</c:dLbls>
          <c:cat>
            <c:strRef>
              <c:f>Лист1!$A$1:$K$1</c:f>
              <c:strCache>
                <c:ptCount val="1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</c:strCache>
            </c:strRef>
          </c:cat>
          <c:val>
            <c:numRef>
              <c:f>Лист1!$A$2:$K$2</c:f>
              <c:numCache>
                <c:formatCode>General</c:formatCode>
                <c:ptCount val="11"/>
                <c:pt idx="0">
                  <c:v>18</c:v>
                </c:pt>
                <c:pt idx="1">
                  <c:v>18</c:v>
                </c:pt>
                <c:pt idx="2">
                  <c:v>16</c:v>
                </c:pt>
                <c:pt idx="3">
                  <c:v>24</c:v>
                </c:pt>
                <c:pt idx="4">
                  <c:v>18</c:v>
                </c:pt>
                <c:pt idx="5">
                  <c:v>19</c:v>
                </c:pt>
                <c:pt idx="6">
                  <c:v>14</c:v>
                </c:pt>
                <c:pt idx="7">
                  <c:v>16</c:v>
                </c:pt>
                <c:pt idx="8">
                  <c:v>19</c:v>
                </c:pt>
                <c:pt idx="9">
                  <c:v>18</c:v>
                </c:pt>
                <c:pt idx="10">
                  <c:v>15</c:v>
                </c:pt>
              </c:numCache>
            </c:numRef>
          </c:val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0"/>
        </c:dLbls>
        <c:gapWidth val="146"/>
        <c:overlap val="12"/>
        <c:axId val="2140789899"/>
        <c:axId val="2140789900"/>
      </c:barChart>
      <c:catAx>
        <c:axId val="2140789899"/>
        <c:scaling>
          <c:orientation val="minMax"/>
        </c:scaling>
        <c:delete val="0"/>
        <c:axPos val="b"/>
        <c:majorGridlines>
          <c:spPr bwMode="auto"/>
        </c:majorGridlines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200" b="1">
                <a:latin typeface="Times New Roman"/>
                <a:cs typeface="Times New Roman"/>
              </a:defRPr>
            </a:pPr>
            <a:endParaRPr lang="ru-RU"/>
          </a:p>
        </c:txPr>
        <c:crossAx val="2140789900"/>
        <c:crosses val="autoZero"/>
        <c:auto val="1"/>
        <c:lblAlgn val="ctr"/>
        <c:lblOffset val="100"/>
        <c:noMultiLvlLbl val="0"/>
      </c:catAx>
      <c:valAx>
        <c:axId val="2140789900"/>
        <c:scaling>
          <c:orientation val="minMax"/>
        </c:scaling>
        <c:delete val="1"/>
        <c:axPos val="l"/>
        <c:majorGridlines>
          <c:spPr bwMode="auto"/>
        </c:majorGridlines>
        <c:numFmt formatCode="General" sourceLinked="1"/>
        <c:majorTickMark val="none"/>
        <c:minorTickMark val="none"/>
        <c:tickLblPos val="nextTo"/>
        <c:crossAx val="2140789899"/>
        <c:crosses val="autoZero"/>
        <c:crossBetween val="between"/>
      </c:valAx>
    </c:plotArea>
    <c:plotVisOnly val="1"/>
    <c:dispBlanksAs val="gap"/>
    <c:showDLblsOverMax val="0"/>
  </c:chart>
  <c:spPr bwMode="auto">
    <a:xfrm>
      <a:off x="0" y="0"/>
      <a:ext cx="6114552" cy="3275937"/>
    </a:xfrm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/>
                <a:cs typeface="Times New Roman"/>
              </a:defRPr>
            </a:pPr>
            <a:r>
              <a:rPr lang="ru-RU" sz="1400" b="1" i="0" u="none" strike="noStrike">
                <a:latin typeface="Times New Roman"/>
                <a:cs typeface="Times New Roman"/>
              </a:rPr>
              <a:t>Структура возростного состава анкетируемых лиц</a:t>
            </a:r>
            <a:endParaRPr lang="ru-RU" sz="1400">
              <a:latin typeface="Times New Roman"/>
              <a:cs typeface="Times New Roman"/>
            </a:endParaRP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046400"/>
          <c:y val="0.143250"/>
          <c:w val="0.953590"/>
          <c:h val="0.731930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 xml:space="preserve">Ряд 1</c:v>
                </c:pt>
              </c:strCache>
            </c:strRef>
          </c:tx>
          <c:spPr bwMode="auto"/>
          <c:invertIfNegative val="0"/>
          <c:dLbls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</c:dLbls>
          <c:cat>
            <c:strRef>
              <c:f>Лист1!$A$2:$A$4</c:f>
              <c:strCache>
                <c:ptCount val="3"/>
                <c:pt idx="0">
                  <c:v xml:space="preserve">18-34 года</c:v>
                </c:pt>
                <c:pt idx="1">
                  <c:v xml:space="preserve">35-54 года</c:v>
                </c:pt>
                <c:pt idx="2">
                  <c:v xml:space="preserve">55 и выше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16</c:v>
                </c:pt>
                <c:pt idx="1">
                  <c:v>14</c:v>
                </c:pt>
                <c:pt idx="2">
                  <c:v>10</c:v>
                </c:pt>
              </c:numCache>
            </c:numRef>
          </c:val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0"/>
        </c:dLbls>
        <c:gapWidth val="150"/>
        <c:shape val="box"/>
        <c:axId val="2140789901"/>
        <c:axId val="2140789902"/>
      </c:bar3DChart>
      <c:catAx>
        <c:axId val="2140789901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/>
                <a:cs typeface="Times New Roman"/>
              </a:defRPr>
            </a:pPr>
            <a:endParaRPr lang="ru-RU"/>
          </a:p>
        </c:txPr>
        <c:crossAx val="2140789902"/>
        <c:crosses val="autoZero"/>
        <c:auto val="1"/>
        <c:lblAlgn val="ctr"/>
        <c:lblOffset val="100"/>
        <c:noMultiLvlLbl val="0"/>
      </c:catAx>
      <c:valAx>
        <c:axId val="214078990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140789901"/>
        <c:crosses val="autoZero"/>
        <c:crossBetween val="between"/>
      </c:valAx>
    </c:plotArea>
    <c:plotVisOnly val="1"/>
    <c:dispBlanksAs val="gap"/>
    <c:showDLblsOverMax val="0"/>
  </c:chart>
  <c:spPr bwMode="auto">
    <a:xfrm>
      <a:off x="0" y="0"/>
      <a:ext cx="6019799" cy="2124073"/>
    </a:xfrm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50">
                <a:latin typeface="Times New Roman"/>
                <a:cs typeface="Times New Roman"/>
              </a:defRPr>
            </a:pPr>
            <a:r>
              <a:rPr lang="ru-RU" sz="1250" b="1" i="0">
                <a:latin typeface="Times New Roman"/>
                <a:cs typeface="Times New Roman"/>
              </a:rPr>
              <a:t>Оценка степени доверия к органам местного самоуправления муниципального образования по десятибалльной шкале, где "10" самый высокий уровень доверия, а "1" – самый низкий уровень доверия,          человек</a:t>
            </a:r>
            <a:endParaRPr lang="ru-RU" sz="1250">
              <a:latin typeface="Times New Roman"/>
              <a:cs typeface="Times New Roman"/>
            </a:endParaRPr>
          </a:p>
        </c:rich>
      </c:tx>
      <c:layout>
        <c:manualLayout>
          <c:x val="0.033720"/>
          <c:y val="0.04249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088850"/>
          <c:y val="0.295770"/>
          <c:w val="0.894620"/>
          <c:h val="0.617340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 xml:space="preserve">Ряд 1</c:v>
                </c:pt>
              </c:strCache>
            </c:strRef>
          </c:tx>
          <c:invertIfNegative val="0"/>
          <c:dLbls>
            <c:dLblPos val="outEnd"/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</c:dLbls>
          <c:val>
            <c:numRef>
              <c:f>Лист1!$B$2:$B$11</c:f>
              <c:numCache>
                <c:formatCode>General</c:formatCode>
                <c:ptCount val="10"/>
                <c:pt idx="0">
                  <c:v>3</c:v>
                </c:pt>
                <c:pt idx="1">
                  <c:v>4</c:v>
                </c:pt>
                <c:pt idx="2">
                  <c:v>3</c:v>
                </c:pt>
                <c:pt idx="3">
                  <c:v>6</c:v>
                </c:pt>
                <c:pt idx="4">
                  <c:v>4</c:v>
                </c:pt>
                <c:pt idx="5">
                  <c:v>5</c:v>
                </c:pt>
                <c:pt idx="6">
                  <c:v>5</c:v>
                </c:pt>
                <c:pt idx="7">
                  <c:v>3</c:v>
                </c:pt>
                <c:pt idx="8">
                  <c:v>3</c:v>
                </c:pt>
                <c:pt idx="9">
                  <c:v>4</c:v>
                </c:pt>
              </c:numCache>
            </c:numRef>
          </c:val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0"/>
        </c:dLbls>
        <c:gapWidth val="150"/>
        <c:axId val="2140789903"/>
        <c:axId val="2140789904"/>
      </c:barChart>
      <c:catAx>
        <c:axId val="2140789903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/>
                <a:cs typeface="Times New Roman"/>
              </a:defRPr>
            </a:pPr>
            <a:endParaRPr lang="ru-RU"/>
          </a:p>
        </c:txPr>
        <c:crossAx val="2140789904"/>
        <c:crosses val="autoZero"/>
        <c:auto val="1"/>
        <c:lblAlgn val="ctr"/>
        <c:lblOffset val="100"/>
        <c:noMultiLvlLbl val="0"/>
      </c:catAx>
      <c:valAx>
        <c:axId val="2140789904"/>
        <c:scaling>
          <c:orientation val="minMax"/>
        </c:scaling>
        <c:delete val="1"/>
        <c:axPos val="l"/>
        <c:majorGridlines>
          <c:spPr bwMode="auto"/>
        </c:majorGridlines>
        <c:numFmt formatCode="General" sourceLinked="1"/>
        <c:majorTickMark val="out"/>
        <c:minorTickMark val="none"/>
        <c:tickLblPos val="nextTo"/>
        <c:crossAx val="2140789903"/>
        <c:crosses val="autoZero"/>
        <c:crossBetween val="between"/>
      </c:valAx>
    </c:plotArea>
    <c:plotVisOnly val="1"/>
    <c:dispBlanksAs val="gap"/>
    <c:showDLblsOverMax val="0"/>
  </c:chart>
  <c:spPr bwMode="auto">
    <a:xfrm>
      <a:off x="0" y="0"/>
      <a:ext cx="6153148" cy="3809998"/>
    </a:xfrm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imes New Roman"/>
                <a:cs typeface="Times New Roman"/>
              </a:defRPr>
            </a:pPr>
            <a:r>
              <a:rPr lang="ru-RU" sz="1200" b="1" i="0">
                <a:latin typeface="Times New Roman"/>
                <a:cs typeface="Times New Roman"/>
              </a:rPr>
              <a:t>Оценка коррумпированности органов местного самоуправления по десятибалльной шкале, где "10" самый высокий уровень коррумпированности, "1" – самый низкий уровень коррумпированности, "0" – полное отсутствие коррупции,       человек</a:t>
            </a:r>
            <a:endParaRPr lang="ru-RU" sz="1200">
              <a:latin typeface="Times New Roman"/>
              <a:cs typeface="Times New Roman"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0700"/>
          <c:y val="0.340510"/>
          <c:w val="0.903810"/>
          <c:h val="0.540570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dLblPos val="outEnd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0</a:t>
                    </a:r>
                    <a:endParaRPr/>
                  </a:p>
                </c:rich>
              </c:tx>
            </c:dLbl>
            <c:dLbl>
              <c:idx val="1"/>
              <c:dLblPos val="outEnd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3</a:t>
                    </a:r>
                    <a:endParaRPr/>
                  </a:p>
                </c:rich>
              </c:tx>
            </c:dLbl>
            <c:dLbl>
              <c:idx val="2"/>
              <c:dLblPos val="outEnd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3</a:t>
                    </a:r>
                    <a:endParaRPr/>
                  </a:p>
                </c:rich>
              </c:tx>
            </c:dLbl>
            <c:dLbl>
              <c:idx val="3"/>
              <c:dLblPos val="outEnd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4</a:t>
                    </a:r>
                    <a:endParaRPr/>
                  </a:p>
                </c:rich>
              </c:tx>
            </c:dLbl>
            <c:dLbl>
              <c:idx val="4"/>
              <c:dLblPos val="outEnd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5</a:t>
                    </a:r>
                    <a:endParaRPr/>
                  </a:p>
                </c:rich>
              </c:tx>
            </c:dLbl>
            <c:dLbl>
              <c:idx val="5"/>
              <c:dLblPos val="outEnd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4</a:t>
                    </a:r>
                    <a:endParaRPr/>
                  </a:p>
                </c:rich>
              </c:tx>
            </c:dLbl>
            <c:dLbl>
              <c:idx val="6"/>
              <c:dLblPos val="outEnd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6</a:t>
                    </a:r>
                    <a:endParaRPr/>
                  </a:p>
                </c:rich>
              </c:tx>
            </c:dLbl>
            <c:dLbl>
              <c:idx val="7"/>
              <c:dLblPos val="outEnd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3</a:t>
                    </a:r>
                    <a:endParaRPr/>
                  </a:p>
                </c:rich>
              </c:tx>
            </c:dLbl>
            <c:dLbl>
              <c:idx val="8"/>
              <c:dLblPos val="outEnd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2</a:t>
                    </a:r>
                    <a:endParaRPr/>
                  </a:p>
                </c:rich>
              </c:tx>
            </c:dLbl>
            <c:dLbl>
              <c:idx val="9"/>
              <c:dLblPos val="outEnd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6</a:t>
                    </a:r>
                    <a:endParaRPr/>
                  </a:p>
                </c:rich>
              </c:tx>
            </c:dLbl>
            <c:dLbl>
              <c:idx val="10"/>
              <c:dLblPos val="outEnd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4</a:t>
                    </a:r>
                    <a:endParaRPr/>
                  </a:p>
                </c:rich>
              </c:tx>
            </c:dLbl>
            <c:dLblPos val="outEnd"/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/>
                    <a:cs typeface="Times New Roman"/>
                  </a:defRPr>
                </a:pPr>
                <a:endParaRPr lang="ru-RU"/>
              </a:p>
            </c:txPr>
          </c:dLbls>
          <c:cat>
            <c:strRef>
              <c:f>Лист1!$A$1:$K$1</c:f>
              <c:strCache>
                <c:ptCount val="1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</c:strCache>
            </c:strRef>
          </c:cat>
          <c:val>
            <c:numRef>
              <c:f>Лист1!$A$2:$K$2</c:f>
              <c:numCache>
                <c:formatCode>General</c:formatCode>
                <c:ptCount val="11"/>
                <c:pt idx="0">
                  <c:v>0</c:v>
                </c:pt>
                <c:pt idx="1">
                  <c:v>3</c:v>
                </c:pt>
                <c:pt idx="2">
                  <c:v>2</c:v>
                </c:pt>
                <c:pt idx="3">
                  <c:v>4</c:v>
                </c:pt>
                <c:pt idx="4">
                  <c:v>5</c:v>
                </c:pt>
                <c:pt idx="5">
                  <c:v>5</c:v>
                </c:pt>
                <c:pt idx="6">
                  <c:v>7</c:v>
                </c:pt>
                <c:pt idx="7">
                  <c:v>4</c:v>
                </c:pt>
                <c:pt idx="8">
                  <c:v>2</c:v>
                </c:pt>
                <c:pt idx="9">
                  <c:v>3</c:v>
                </c:pt>
                <c:pt idx="10">
                  <c:v>4</c:v>
                </c:pt>
              </c:numCache>
            </c:numRef>
          </c:val>
        </c:ser>
        <c:dLbls>
          <c:dLblPos val="outEnd"/>
          <c:showBubbleSize val="0"/>
          <c:showCatName val="0"/>
          <c:showLeaderLines val="0"/>
          <c:showLegendKey val="0"/>
          <c:showPercent val="0"/>
          <c:showSerName val="0"/>
          <c:showVal val="1"/>
        </c:dLbls>
        <c:gapWidth val="150"/>
        <c:axId val="2140789905"/>
        <c:axId val="2140789906"/>
      </c:barChart>
      <c:catAx>
        <c:axId val="2140789905"/>
        <c:scaling>
          <c:orientation val="minMax"/>
        </c:scaling>
        <c:delete val="0"/>
        <c:axPos val="b"/>
        <c:majorGridlines>
          <c:spPr bwMode="auto"/>
        </c:majorGridlines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200" b="1">
                <a:latin typeface="Times New Roman"/>
                <a:cs typeface="Times New Roman"/>
              </a:defRPr>
            </a:pPr>
            <a:endParaRPr lang="ru-RU"/>
          </a:p>
        </c:txPr>
        <c:crossAx val="2140789906"/>
        <c:crosses val="autoZero"/>
        <c:auto val="1"/>
        <c:lblAlgn val="ctr"/>
        <c:lblOffset val="100"/>
        <c:noMultiLvlLbl val="0"/>
      </c:catAx>
      <c:valAx>
        <c:axId val="2140789906"/>
        <c:scaling>
          <c:orientation val="minMax"/>
        </c:scaling>
        <c:delete val="1"/>
        <c:axPos val="l"/>
        <c:majorGridlines>
          <c:spPr bwMode="auto"/>
        </c:majorGridlines>
        <c:numFmt formatCode="General" sourceLinked="1"/>
        <c:majorTickMark val="none"/>
        <c:minorTickMark val="none"/>
        <c:tickLblPos val="nextTo"/>
        <c:crossAx val="2140789905"/>
        <c:crosses val="autoZero"/>
        <c:crossBetween val="between"/>
      </c:valAx>
    </c:plotArea>
    <c:plotVisOnly val="1"/>
    <c:dispBlanksAs val="gap"/>
    <c:showDLblsOverMax val="0"/>
  </c:chart>
  <c:spPr bwMode="auto">
    <a:xfrm>
      <a:off x="0" y="0"/>
      <a:ext cx="6115046" cy="2997198"/>
    </a:xfrm>
  </c:spPr>
  <c:externalData r:id="rId1">
    <c:autoUpdate val="0"/>
  </c:externalData>
</c:chartSpace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revision>48</cp:revision>
  <dcterms:created xsi:type="dcterms:W3CDTF">2019-04-26T05:55:00Z</dcterms:created>
  <dcterms:modified xsi:type="dcterms:W3CDTF">2024-04-24T13:45:49Z</dcterms:modified>
</cp:coreProperties>
</file>