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3"/>
        <w:ind w:left="0" w:right="0" w:firstLine="5669"/>
        <w:rPr>
          <w:rFonts w:ascii="FreeSerif" w:hAnsi="FreeSerif" w:cs="FreeSerif"/>
          <w:sz w:val="28"/>
          <w:szCs w:val="28"/>
          <w:highlight w:val="none"/>
        </w:rPr>
      </w:pPr>
      <w:r>
        <w:rPr>
          <w:rFonts w:ascii="FreeSerif" w:hAnsi="FreeSerif" w:eastAsia="FreeSerif" w:cs="FreeSerif"/>
          <w:sz w:val="28"/>
          <w:szCs w:val="28"/>
          <w:highlight w:val="none"/>
        </w:rPr>
        <w:t xml:space="preserve">Приложение </w:t>
      </w:r>
      <w:r>
        <w:rPr>
          <w:rFonts w:ascii="FreeSerif" w:hAnsi="FreeSerif" w:cs="FreeSerif"/>
          <w:sz w:val="28"/>
          <w:szCs w:val="28"/>
          <w:highlight w:val="none"/>
        </w:rPr>
        <w:t xml:space="preserve">26</w:t>
      </w:r>
      <w:r>
        <w:rPr>
          <w:rFonts w:ascii="FreeSerif" w:hAnsi="FreeSerif" w:cs="FreeSerif"/>
          <w:sz w:val="28"/>
          <w:szCs w:val="28"/>
          <w:highlight w:val="none"/>
        </w:rPr>
      </w:r>
      <w:r>
        <w:rPr>
          <w:rFonts w:ascii="FreeSerif" w:hAnsi="FreeSerif" w:cs="FreeSerif"/>
          <w:sz w:val="28"/>
          <w:szCs w:val="28"/>
          <w:highlight w:val="none"/>
        </w:rPr>
      </w:r>
    </w:p>
    <w:p>
      <w:pPr>
        <w:pStyle w:val="833"/>
        <w:ind w:left="0" w:right="0" w:firstLine="5669"/>
        <w:rPr>
          <w:rFonts w:ascii="FreeSerif" w:hAnsi="FreeSerif" w:cs="FreeSerif"/>
          <w:sz w:val="28"/>
          <w:szCs w:val="28"/>
          <w:highlight w:val="none"/>
        </w:rPr>
      </w:pPr>
      <w:r>
        <w:rPr>
          <w:rFonts w:ascii="FreeSerif" w:hAnsi="FreeSerif" w:eastAsia="FreeSerif" w:cs="FreeSerif"/>
          <w:sz w:val="28"/>
          <w:szCs w:val="28"/>
          <w:highlight w:val="none"/>
        </w:rPr>
        <w:t xml:space="preserve">к решению Совета </w:t>
      </w:r>
      <w:r>
        <w:rPr>
          <w:rFonts w:ascii="FreeSerif" w:hAnsi="FreeSerif" w:cs="FreeSerif"/>
          <w:sz w:val="28"/>
          <w:szCs w:val="28"/>
          <w:highlight w:val="none"/>
        </w:rPr>
      </w:r>
      <w:r>
        <w:rPr>
          <w:rFonts w:ascii="FreeSerif" w:hAnsi="FreeSerif" w:cs="FreeSerif"/>
          <w:sz w:val="28"/>
          <w:szCs w:val="28"/>
          <w:highlight w:val="none"/>
        </w:rPr>
      </w:r>
    </w:p>
    <w:p>
      <w:pPr>
        <w:pStyle w:val="833"/>
        <w:ind w:left="0" w:right="0" w:firstLine="5669"/>
        <w:rPr>
          <w:rFonts w:ascii="FreeSerif" w:hAnsi="FreeSerif" w:cs="FreeSerif"/>
          <w:highlight w:val="none"/>
        </w:rPr>
      </w:pPr>
      <w:r>
        <w:rPr>
          <w:rFonts w:ascii="FreeSerif" w:hAnsi="FreeSerif" w:eastAsia="FreeSerif" w:cs="FreeSerif"/>
          <w:sz w:val="28"/>
          <w:szCs w:val="28"/>
          <w:highlight w:val="none"/>
        </w:rPr>
        <w:t xml:space="preserve">муниципального образования</w:t>
      </w:r>
      <w:r>
        <w:rPr>
          <w:rFonts w:ascii="FreeSerif" w:hAnsi="FreeSerif" w:cs="FreeSerif"/>
          <w:highlight w:val="none"/>
        </w:rPr>
      </w:r>
      <w:r>
        <w:rPr>
          <w:rFonts w:ascii="FreeSerif" w:hAnsi="FreeSerif" w:cs="FreeSerif"/>
          <w:highlight w:val="none"/>
        </w:rPr>
      </w:r>
    </w:p>
    <w:p>
      <w:pPr>
        <w:pStyle w:val="833"/>
        <w:ind w:left="0" w:right="0" w:firstLine="5669"/>
        <w:rPr>
          <w:rFonts w:ascii="FreeSerif" w:hAnsi="FreeSerif" w:cs="FreeSerif"/>
          <w:sz w:val="28"/>
          <w:szCs w:val="28"/>
          <w:highlight w:val="none"/>
        </w:rPr>
      </w:pPr>
      <w:r>
        <w:rPr>
          <w:rFonts w:ascii="FreeSerif" w:hAnsi="FreeSerif" w:eastAsia="FreeSerif" w:cs="FreeSerif"/>
          <w:sz w:val="28"/>
          <w:szCs w:val="28"/>
          <w:highlight w:val="none"/>
        </w:rPr>
        <w:t xml:space="preserve">Ленинградский</w:t>
      </w:r>
      <w:r>
        <w:rPr>
          <w:rFonts w:ascii="FreeSerif" w:hAnsi="FreeSerif" w:cs="FreeSerif"/>
          <w:sz w:val="28"/>
          <w:szCs w:val="28"/>
          <w:highlight w:val="none"/>
        </w:rPr>
      </w:r>
      <w:r>
        <w:rPr>
          <w:rFonts w:ascii="FreeSerif" w:hAnsi="FreeSerif" w:cs="FreeSerif"/>
          <w:sz w:val="28"/>
          <w:szCs w:val="28"/>
          <w:highlight w:val="none"/>
        </w:rPr>
      </w:r>
    </w:p>
    <w:p>
      <w:pPr>
        <w:pStyle w:val="833"/>
        <w:ind w:left="0" w:right="0" w:firstLine="5669"/>
        <w:rPr>
          <w:rFonts w:ascii="FreeSerif" w:hAnsi="FreeSerif" w:cs="FreeSerif"/>
          <w:sz w:val="28"/>
          <w:szCs w:val="28"/>
          <w:highlight w:val="none"/>
        </w:rPr>
      </w:pPr>
      <w:r>
        <w:rPr>
          <w:rFonts w:ascii="FreeSerif" w:hAnsi="FreeSerif" w:eastAsia="FreeSerif" w:cs="FreeSerif"/>
          <w:sz w:val="28"/>
          <w:szCs w:val="28"/>
          <w:highlight w:val="none"/>
        </w:rPr>
        <w:t xml:space="preserve">муниципальный округ</w:t>
      </w:r>
      <w:r>
        <w:rPr>
          <w:rFonts w:ascii="FreeSerif" w:hAnsi="FreeSerif" w:cs="FreeSerif"/>
          <w:sz w:val="28"/>
          <w:szCs w:val="28"/>
          <w:highlight w:val="none"/>
        </w:rPr>
      </w:r>
      <w:r>
        <w:rPr>
          <w:rFonts w:ascii="FreeSerif" w:hAnsi="FreeSerif" w:cs="FreeSerif"/>
          <w:sz w:val="28"/>
          <w:szCs w:val="28"/>
          <w:highlight w:val="none"/>
        </w:rPr>
      </w:r>
    </w:p>
    <w:p>
      <w:pPr>
        <w:pStyle w:val="833"/>
        <w:ind w:left="0" w:right="0" w:firstLine="5669"/>
        <w:rPr>
          <w:rFonts w:ascii="FreeSerif" w:hAnsi="FreeSerif" w:cs="FreeSerif"/>
          <w:sz w:val="28"/>
          <w:szCs w:val="28"/>
          <w:highlight w:val="none"/>
        </w:rPr>
      </w:pPr>
      <w:r>
        <w:rPr>
          <w:rFonts w:ascii="FreeSerif" w:hAnsi="FreeSerif" w:cs="FreeSerif"/>
          <w:sz w:val="28"/>
          <w:szCs w:val="28"/>
          <w:highlight w:val="none"/>
        </w:rPr>
        <w:t xml:space="preserve">Краснодарского края</w:t>
      </w:r>
      <w:r>
        <w:rPr>
          <w:rFonts w:ascii="FreeSerif" w:hAnsi="FreeSerif" w:cs="FreeSerif"/>
          <w:sz w:val="28"/>
          <w:szCs w:val="28"/>
          <w:highlight w:val="none"/>
        </w:rPr>
      </w:r>
      <w:r>
        <w:rPr>
          <w:rFonts w:ascii="FreeSerif" w:hAnsi="FreeSerif" w:cs="FreeSerif"/>
          <w:sz w:val="28"/>
          <w:szCs w:val="28"/>
          <w:highlight w:val="none"/>
        </w:rPr>
      </w:r>
    </w:p>
    <w:p>
      <w:pPr>
        <w:pStyle w:val="833"/>
        <w:ind w:left="0" w:right="0" w:firstLine="5669"/>
        <w:rPr>
          <w:rFonts w:ascii="FreeSerif" w:hAnsi="FreeSerif" w:cs="FreeSerif"/>
          <w:sz w:val="28"/>
          <w:szCs w:val="28"/>
          <w:highlight w:val="none"/>
        </w:rPr>
      </w:pPr>
      <w:r>
        <w:rPr>
          <w:rFonts w:ascii="FreeSerif" w:hAnsi="FreeSerif" w:cs="FreeSerif"/>
          <w:sz w:val="28"/>
          <w:szCs w:val="28"/>
          <w:highlight w:val="none"/>
        </w:rPr>
      </w:r>
      <w:r>
        <w:rPr>
          <w:rFonts w:ascii="FreeSerif" w:hAnsi="FreeSerif" w:eastAsia="FreeSerif" w:cs="FreeSerif"/>
          <w:sz w:val="28"/>
          <w:szCs w:val="28"/>
        </w:rPr>
        <w:t xml:space="preserve">от 29.01.2026 г. № 2</w:t>
      </w:r>
      <w:r>
        <w:rPr>
          <w:rFonts w:ascii="FreeSerif" w:hAnsi="FreeSerif" w:cs="FreeSerif"/>
          <w:sz w:val="28"/>
          <w:szCs w:val="28"/>
          <w:highlight w:val="none"/>
        </w:rPr>
      </w:r>
      <w:r>
        <w:rPr>
          <w:rFonts w:ascii="FreeSerif" w:hAnsi="FreeSerif" w:cs="FreeSerif"/>
          <w:sz w:val="28"/>
          <w:szCs w:val="28"/>
          <w:highlight w:val="none"/>
        </w:rPr>
      </w:r>
    </w:p>
    <w:p>
      <w:pPr>
        <w:pStyle w:val="833"/>
        <w:ind w:left="0" w:right="0" w:firstLine="5669"/>
        <w:rPr>
          <w:rFonts w:ascii="FreeSerif" w:hAnsi="FreeSerif" w:cs="FreeSerif"/>
          <w:sz w:val="28"/>
          <w:szCs w:val="28"/>
          <w:highlight w:val="none"/>
        </w:rPr>
      </w:pPr>
      <w:r>
        <w:rPr>
          <w:rFonts w:ascii="FreeSerif" w:hAnsi="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p>
      <w:pPr>
        <w:pStyle w:val="833"/>
        <w:jc w:val="center"/>
        <w:rPr>
          <w:rFonts w:ascii="FreeSerif" w:hAnsi="FreeSerif" w:eastAsia="FreeSerif" w:cs="FreeSerif"/>
          <w:b/>
          <w:bCs/>
          <w:sz w:val="28"/>
          <w:szCs w:val="28"/>
        </w:rPr>
      </w:pPr>
      <w:r>
        <w:rPr>
          <w:rFonts w:ascii="FreeSerif" w:hAnsi="FreeSerif" w:eastAsia="FreeSerif" w:cs="FreeSerif"/>
          <w:b/>
          <w:bCs/>
          <w:sz w:val="28"/>
          <w:szCs w:val="28"/>
        </w:rPr>
        <w:t xml:space="preserve">Перечень </w:t>
      </w:r>
      <w:r>
        <w:rPr>
          <w:rFonts w:ascii="FreeSerif" w:hAnsi="FreeSerif" w:eastAsia="FreeSerif" w:cs="FreeSerif"/>
          <w:b/>
          <w:bCs/>
          <w:sz w:val="28"/>
          <w:szCs w:val="28"/>
        </w:rPr>
        <w:t xml:space="preserve">муниципального имущества, закрепленного на праве оперативного управления за </w:t>
      </w:r>
      <w:r>
        <w:rPr>
          <w:rFonts w:ascii="FreeSerif" w:hAnsi="FreeSerif" w:eastAsia="FreeSerif" w:cs="FreeSerif"/>
          <w:b/>
          <w:bCs/>
          <w:sz w:val="28"/>
          <w:szCs w:val="28"/>
        </w:rPr>
        <w:t xml:space="preserve">муниципальным автономным дошкольным образовательным учреждением детским садом общеразвивающего вида № 12 станицы Ленинградской муниципального образования Ленинградский муниципальный округ Краснодарского края</w:t>
      </w:r>
      <w:r>
        <w:rPr>
          <w:rFonts w:ascii="FreeSerif" w:hAnsi="FreeSerif" w:eastAsia="FreeSerif" w:cs="FreeSerif"/>
          <w:b/>
          <w:bCs/>
          <w:sz w:val="28"/>
          <w:szCs w:val="28"/>
        </w:rPr>
        <w:t xml:space="preserve">, </w:t>
      </w:r>
      <w:r>
        <w:rPr>
          <w:rFonts w:ascii="FreeSerif" w:hAnsi="FreeSerif" w:eastAsia="FreeSerif" w:cs="FreeSerif"/>
          <w:b/>
          <w:bCs/>
          <w:sz w:val="28"/>
          <w:szCs w:val="28"/>
        </w:rPr>
        <w:t xml:space="preserve">ст. Ленинградская, ул. Лагерная, 12-А</w:t>
      </w:r>
      <w:r>
        <w:rPr>
          <w:rFonts w:ascii="FreeSerif" w:hAnsi="FreeSerif" w:eastAsia="FreeSerif" w:cs="FreeSerif"/>
          <w:b/>
          <w:bCs/>
          <w:sz w:val="28"/>
          <w:szCs w:val="28"/>
        </w:rPr>
        <w:t xml:space="preserve">,</w:t>
      </w:r>
      <w:r>
        <w:rPr>
          <w:rFonts w:ascii="FreeSerif" w:hAnsi="FreeSerif" w:eastAsia="FreeSerif" w:cs="FreeSerif"/>
          <w:b/>
          <w:bCs/>
          <w:sz w:val="28"/>
          <w:szCs w:val="28"/>
        </w:rPr>
      </w:r>
      <w:r>
        <w:rPr>
          <w:rFonts w:ascii="FreeSerif" w:hAnsi="FreeSerif" w:eastAsia="FreeSerif" w:cs="FreeSerif"/>
          <w:b/>
          <w:bCs/>
          <w:sz w:val="28"/>
          <w:szCs w:val="28"/>
        </w:rPr>
      </w:r>
    </w:p>
    <w:p>
      <w:pPr>
        <w:pStyle w:val="833"/>
        <w:jc w:val="center"/>
        <w:rPr>
          <w:b/>
          <w:bCs/>
          <w:highlight w:val="none"/>
        </w:rPr>
      </w:pPr>
      <w:r>
        <w:rPr>
          <w:rFonts w:ascii="FreeSerif" w:hAnsi="FreeSerif" w:eastAsia="FreeSerif" w:cs="FreeSerif"/>
          <w:b/>
          <w:bCs/>
          <w:sz w:val="28"/>
          <w:szCs w:val="28"/>
        </w:rPr>
        <w:t xml:space="preserve">и подлежащего передаче</w:t>
      </w:r>
      <w:r>
        <w:rPr>
          <w:rFonts w:ascii="FreeSerif" w:hAnsi="FreeSerif" w:eastAsia="FreeSerif" w:cs="FreeSerif"/>
          <w:b/>
          <w:bCs/>
          <w:sz w:val="28"/>
          <w:szCs w:val="28"/>
        </w:rPr>
        <w:t xml:space="preserve"> в безвозмездное пользование</w:t>
      </w:r>
      <w:r>
        <w:rPr>
          <w:b/>
          <w:bCs/>
          <w:highlight w:val="none"/>
        </w:rPr>
      </w:r>
      <w:r>
        <w:rPr>
          <w:b/>
          <w:bCs/>
          <w:highlight w:val="none"/>
        </w:rPr>
      </w:r>
    </w:p>
    <w:p>
      <w:pPr>
        <w:pStyle w:val="833"/>
        <w:jc w:val="center"/>
        <w:rPr>
          <w:rFonts w:ascii="FreeSerif" w:hAnsi="FreeSerif" w:eastAsia="FreeSerif" w:cs="FreeSerif"/>
          <w:b/>
          <w:bCs/>
          <w:sz w:val="28"/>
          <w:szCs w:val="28"/>
        </w:rPr>
      </w:pPr>
      <w:r>
        <w:rPr>
          <w:rFonts w:ascii="FreeSerif" w:hAnsi="FreeSerif" w:eastAsia="FreeSerif" w:cs="FreeSerif"/>
          <w:b/>
          <w:bCs/>
          <w:sz w:val="28"/>
          <w:szCs w:val="28"/>
        </w:rPr>
      </w:r>
      <w:r>
        <w:rPr>
          <w:rFonts w:ascii="FreeSerif" w:hAnsi="FreeSerif" w:eastAsia="FreeSerif" w:cs="FreeSerif"/>
          <w:b/>
          <w:bCs/>
          <w:sz w:val="28"/>
          <w:szCs w:val="28"/>
        </w:rPr>
      </w:r>
      <w:r>
        <w:rPr>
          <w:rFonts w:ascii="FreeSerif" w:hAnsi="FreeSerif" w:eastAsia="FreeSerif" w:cs="FreeSerif"/>
          <w:b/>
          <w:bCs/>
          <w:sz w:val="28"/>
          <w:szCs w:val="28"/>
        </w:rPr>
      </w:r>
    </w:p>
    <w:p>
      <w:pPr>
        <w:pStyle w:val="833"/>
        <w:jc w:val="center"/>
        <w:rPr>
          <w:rFonts w:ascii="FreeSerif" w:hAnsi="FreeSerif" w:cs="FreeSerif"/>
          <w:b w:val="0"/>
          <w:bCs w:val="0"/>
          <w:sz w:val="28"/>
          <w:szCs w:val="28"/>
          <w:highlight w:val="none"/>
        </w:rPr>
      </w:pPr>
      <w:r>
        <w:rPr>
          <w:rFonts w:ascii="FreeSerif" w:hAnsi="FreeSerif" w:eastAsia="FreeSerif" w:cs="FreeSerif"/>
          <w:b w:val="0"/>
          <w:bCs w:val="0"/>
          <w:sz w:val="28"/>
          <w:szCs w:val="28"/>
          <w:highlight w:val="none"/>
        </w:rPr>
        <w:t xml:space="preserve">Недвижимое имущество</w:t>
      </w:r>
      <w:r>
        <w:rPr>
          <w:rFonts w:ascii="FreeSerif" w:hAnsi="FreeSerif" w:cs="FreeSerif"/>
          <w:b w:val="0"/>
          <w:bCs w:val="0"/>
          <w:sz w:val="28"/>
          <w:szCs w:val="28"/>
          <w:highlight w:val="none"/>
        </w:rPr>
      </w:r>
      <w:r>
        <w:rPr>
          <w:rFonts w:ascii="FreeSerif" w:hAnsi="FreeSerif" w:cs="FreeSerif"/>
          <w:b w:val="0"/>
          <w:bCs w:val="0"/>
          <w:sz w:val="28"/>
          <w:szCs w:val="28"/>
          <w:highlight w:val="none"/>
        </w:rPr>
      </w:r>
    </w:p>
    <w:p>
      <w:r/>
      <w:r/>
    </w:p>
    <w:tbl>
      <w:tblPr>
        <w:tblStyle w:val="686"/>
        <w:tblW w:w="0" w:type="auto"/>
        <w:tblInd w:w="-425" w:type="dxa"/>
        <w:tblLayout w:type="fixed"/>
        <w:tblLook w:val="04A0" w:firstRow="1" w:lastRow="0" w:firstColumn="1" w:lastColumn="0" w:noHBand="0" w:noVBand="1"/>
      </w:tblPr>
      <w:tblGrid>
        <w:gridCol w:w="5528"/>
        <w:gridCol w:w="2126"/>
        <w:gridCol w:w="1984"/>
      </w:tblGrid>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52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Здание двухэтажное, ст. Ленинградская, ул. Лагерная, 12-А</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26"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1010001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52,8 кв.м</w:t>
            </w:r>
            <w:r>
              <w:rPr>
                <w:rFonts w:ascii="FreeSerif" w:hAnsi="FreeSerif" w:cs="FreeSerif"/>
                <w:sz w:val="24"/>
                <w:szCs w:val="24"/>
              </w:rPr>
            </w:r>
            <w:r>
              <w:rPr>
                <w:rFonts w:ascii="FreeSerif" w:hAnsi="FreeSerif" w:cs="FreeSerif"/>
                <w:sz w:val="24"/>
                <w:szCs w:val="24"/>
              </w:rPr>
            </w:r>
          </w:p>
        </w:tc>
      </w:tr>
    </w:tbl>
    <w:p>
      <w:r/>
      <w:r/>
    </w:p>
    <w:p>
      <w:pPr>
        <w:pStyle w:val="837"/>
        <w:jc w:val="center"/>
        <w:spacing w:before="0" w:beforeAutospacing="0" w:after="0" w:afterAutospacing="0"/>
        <w:rPr>
          <w:rFonts w:ascii="FreeSerif" w:hAnsi="FreeSerif" w:cs="FreeSerif"/>
          <w:sz w:val="28"/>
          <w:szCs w:val="28"/>
        </w:rPr>
      </w:pPr>
      <w:r>
        <w:rPr>
          <w:rFonts w:ascii="FreeSerif" w:hAnsi="FreeSerif" w:eastAsia="FreeSerif" w:cs="FreeSerif"/>
          <w:sz w:val="28"/>
          <w:szCs w:val="28"/>
        </w:rPr>
        <w:t xml:space="preserve">Технологическое и иное оборудование:</w:t>
      </w:r>
      <w:r>
        <w:rPr>
          <w:rFonts w:ascii="FreeSerif" w:hAnsi="FreeSerif" w:cs="FreeSerif"/>
          <w:sz w:val="28"/>
          <w:szCs w:val="28"/>
        </w:rPr>
      </w:r>
      <w:r>
        <w:rPr>
          <w:rFonts w:ascii="FreeSerif" w:hAnsi="FreeSerif" w:cs="FreeSerif"/>
          <w:sz w:val="28"/>
          <w:szCs w:val="28"/>
        </w:rPr>
      </w:r>
    </w:p>
    <w:p>
      <w:r/>
      <w:r/>
    </w:p>
    <w:tbl>
      <w:tblPr>
        <w:tblStyle w:val="686"/>
        <w:tblW w:w="0" w:type="auto"/>
        <w:tblInd w:w="-425" w:type="dxa"/>
        <w:tblLayout w:type="fixed"/>
        <w:tblLook w:val="04A0" w:firstRow="1" w:lastRow="0" w:firstColumn="1" w:lastColumn="0" w:noHBand="0" w:noVBand="1"/>
      </w:tblPr>
      <w:tblGrid>
        <w:gridCol w:w="1145"/>
        <w:gridCol w:w="4382"/>
        <w:gridCol w:w="2268"/>
        <w:gridCol w:w="1843"/>
      </w:tblGrid>
      <w:tr>
        <w:tblPrEx/>
        <w:trPr>
          <w:trHeight w:val="8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 п/п</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bottom"/>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Наименование имущества</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cente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Инвентарный номер</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bottom"/>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Количество, шт.</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ванна моечная</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104325689</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537"/>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Конвекционная печь</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104360012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электроплита</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104380071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4</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сковорода электрическая</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104380072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5</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мясорубка ТМ-32 настольная</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41012402001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6</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водонагреватель "РЕГЕНТ -100"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106360134</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7</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холодильник "ИНДЕЗИТ"</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2106000020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3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8</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стол</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jc w:val="lef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2106012545</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9</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стол</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jc w:val="lef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2106012546</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морозильник "Бирюса" -148</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206118027</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72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стол, 2000*800*760,ЛДСП,ПВХ хром ножки</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206380220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морозильник</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2106000013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Ванна моечная 2х секционная</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106380228</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14</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стеллаж кухонный</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106380229</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15</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стеллаж кухонный</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106380230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16</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стол разделочный</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jc w:val="lef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106380231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16</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стол разделочный</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jc w:val="lef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106380231/1  </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16</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стол разделочный</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jc w:val="lef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 106380231/2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72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17</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Холодильная камера внешними размерами 1,96*3,16*2,2м</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41012402002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18</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весы</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з/б</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144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19</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Стол разделочный ЭКОНОМ ЦК СРО-12/6ЭЦК 1200*600*870(890)ММ, ПОЛКА-РЕШЕТКА</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з/б</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85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шкаф дл хоз. инвентаря ШМУ 22-800 метал.</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40101360084</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72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плитка электрическая ПищТех ПЭП 0,48 ДШ-01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4101260026</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шкаф холодильный</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104360013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шкаф холодильный</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2106012540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24</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морозильная камера "Стинол"105</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206118026</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96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25</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Холодильная система на базе поршнего герметичного компрессора</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41012402003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31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45"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26</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82"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весы</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з/б</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bl>
    <w:p>
      <w:r/>
      <w:r/>
    </w:p>
    <w:p>
      <w:pPr>
        <w:jc w:val="center"/>
        <w:rPr>
          <w:rFonts w:ascii="FreeSerif" w:hAnsi="FreeSerif" w:cs="FreeSerif"/>
          <w:sz w:val="28"/>
          <w:szCs w:val="28"/>
        </w:rPr>
      </w:pPr>
      <w:r>
        <w:rPr>
          <w:rFonts w:ascii="FreeSerif" w:hAnsi="FreeSerif" w:eastAsia="FreeSerif" w:cs="FreeSerif"/>
          <w:sz w:val="28"/>
          <w:szCs w:val="28"/>
        </w:rPr>
        <w:t xml:space="preserve">Недвижимое имущество:</w:t>
      </w:r>
      <w:r>
        <w:rPr>
          <w:rFonts w:ascii="FreeSerif" w:hAnsi="FreeSerif" w:cs="FreeSerif"/>
          <w:sz w:val="28"/>
          <w:szCs w:val="28"/>
        </w:rPr>
      </w:r>
      <w:r>
        <w:rPr>
          <w:rFonts w:ascii="FreeSerif" w:hAnsi="FreeSerif" w:cs="FreeSerif"/>
          <w:sz w:val="28"/>
          <w:szCs w:val="28"/>
        </w:rPr>
      </w:r>
    </w:p>
    <w:tbl>
      <w:tblPr>
        <w:tblStyle w:val="686"/>
        <w:tblW w:w="0" w:type="auto"/>
        <w:tblInd w:w="-425" w:type="dxa"/>
        <w:tblLayout w:type="fixed"/>
        <w:tblLook w:val="04A0" w:firstRow="1" w:lastRow="0" w:firstColumn="1" w:lastColumn="0" w:noHBand="0" w:noVBand="1"/>
      </w:tblPr>
      <w:tblGrid>
        <w:gridCol w:w="2480"/>
        <w:gridCol w:w="3047"/>
        <w:gridCol w:w="4110"/>
      </w:tblGrid>
      <w:tr>
        <w:tblPrEx/>
        <w:trPr>
          <w:trHeight w:val="126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80" w:type="dxa"/>
            <w:vAlign w:val="top"/>
            <w:textDirection w:val="lrTb"/>
            <w:noWrap w:val="false"/>
          </w:tcPr>
          <w:p>
            <w:pPr>
              <w:jc w:val="lef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Здание, Ленинградский район, х. Восточный, ул. Юбилейная, 101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047" w:type="dxa"/>
            <w:vAlign w:val="top"/>
            <w:textDirection w:val="lrTb"/>
            <w:noWrap w:val="false"/>
          </w:tcPr>
          <w:p>
            <w:pPr>
              <w:jc w:val="cente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102000001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10" w:type="dxa"/>
            <w:vAlign w:val="top"/>
            <w:textDirection w:val="lrTb"/>
            <w:noWrap w:val="false"/>
          </w:tcPr>
          <w:p>
            <w:pPr>
              <w:jc w:val="cente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39,3 кв.м.</w:t>
            </w:r>
            <w:r>
              <w:rPr>
                <w:rFonts w:ascii="FreeSerif" w:hAnsi="FreeSerif" w:cs="FreeSerif"/>
                <w:sz w:val="24"/>
                <w:szCs w:val="24"/>
              </w:rPr>
            </w:r>
            <w:r>
              <w:rPr>
                <w:rFonts w:ascii="FreeSerif" w:hAnsi="FreeSerif" w:cs="FreeSerif"/>
                <w:sz w:val="24"/>
                <w:szCs w:val="24"/>
              </w:rPr>
            </w:r>
          </w:p>
        </w:tc>
      </w:tr>
    </w:tbl>
    <w:p>
      <w:r/>
      <w:r/>
    </w:p>
    <w:p>
      <w:pPr>
        <w:pStyle w:val="837"/>
        <w:jc w:val="center"/>
        <w:spacing w:before="0" w:beforeAutospacing="0" w:after="0" w:afterAutospacing="0"/>
        <w:rPr>
          <w:rFonts w:ascii="FreeSerif" w:hAnsi="FreeSerif" w:cs="FreeSerif"/>
          <w:sz w:val="28"/>
          <w:szCs w:val="28"/>
        </w:rPr>
      </w:pPr>
      <w:r>
        <w:rPr>
          <w:rFonts w:ascii="FreeSerif" w:hAnsi="FreeSerif" w:eastAsia="FreeSerif" w:cs="FreeSerif"/>
          <w:sz w:val="28"/>
          <w:szCs w:val="28"/>
        </w:rPr>
        <w:t xml:space="preserve">Технологическое и иное оборудование:</w:t>
      </w:r>
      <w:r>
        <w:rPr>
          <w:rFonts w:ascii="FreeSerif" w:hAnsi="FreeSerif" w:cs="FreeSerif"/>
          <w:sz w:val="28"/>
          <w:szCs w:val="28"/>
        </w:rPr>
      </w:r>
      <w:r>
        <w:rPr>
          <w:rFonts w:ascii="FreeSerif" w:hAnsi="FreeSerif" w:cs="FreeSerif"/>
          <w:sz w:val="28"/>
          <w:szCs w:val="28"/>
        </w:rPr>
      </w:r>
    </w:p>
    <w:p>
      <w:r/>
      <w:r/>
    </w:p>
    <w:tbl>
      <w:tblPr>
        <w:tblStyle w:val="686"/>
        <w:tblW w:w="0" w:type="auto"/>
        <w:tblInd w:w="-425" w:type="dxa"/>
        <w:tblLayout w:type="fixed"/>
        <w:tblLook w:val="04A0" w:firstRow="1" w:lastRow="0" w:firstColumn="1" w:lastColumn="0" w:noHBand="0" w:noVBand="1"/>
      </w:tblPr>
      <w:tblGrid>
        <w:gridCol w:w="1134"/>
        <w:gridCol w:w="4394"/>
        <w:gridCol w:w="2268"/>
        <w:gridCol w:w="1843"/>
      </w:tblGrid>
      <w:tr>
        <w:tblPrEx/>
        <w:trPr>
          <w:trHeight w:val="8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 п/п</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bottom"/>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Наименование имущества</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cente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Инвентарный номер</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bottom"/>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Количество, шт.</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весы  циферблатные РН-6ц</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104360001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весы  циферблатные РН-6ц</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104360002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Мороз.камера INDESIT</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(1)106000001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4</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холодильник "Атлант 2823"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106000002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5</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холодильник "Атлант 2823"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106000003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6</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холодильник "Атлант 2823"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106000004</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72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7</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Электро печь с жар.шкафом 4х конфортн.</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106000006</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293"/>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8</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эл.мясорубка</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106000007</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293"/>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9</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миксер</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cente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з/б</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293"/>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шкаф духовой</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cente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з/б</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11</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стол разделочный с бортом Сроб-600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cente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з/б</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12</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стол разделочный с бортом Сроб-600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cente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з/б</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bottom"/>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13</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394" w:type="dxa"/>
            <w:vAlign w:val="top"/>
            <w:textDirection w:val="lrTb"/>
            <w:noWrap w:val="false"/>
          </w:tcPr>
          <w:p>
            <w:pP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стол разделочный с бортом Сроб-600</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8" w:type="dxa"/>
            <w:vAlign w:val="bottom"/>
            <w:textDirection w:val="lrTb"/>
            <w:noWrap w:val="false"/>
          </w:tcPr>
          <w:p>
            <w:pPr>
              <w:jc w:val="center"/>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з/б</w:t>
            </w:r>
            <w:r>
              <w:rPr>
                <w:rFonts w:ascii="FreeSerif" w:hAnsi="FreeSerif" w:cs="FreeSerif"/>
                <w:sz w:val="24"/>
                <w:szCs w:val="24"/>
              </w:rPr>
            </w:r>
            <w:r>
              <w:rPr>
                <w:rFonts w:ascii="FreeSerif" w:hAnsi="FreeSerif" w:cs="FreeSerif"/>
                <w:sz w:val="24"/>
                <w:szCs w:val="2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843" w:type="dxa"/>
            <w:vAlign w:val="top"/>
            <w:textDirection w:val="lrTb"/>
            <w:noWrap w:val="false"/>
          </w:tcPr>
          <w:p>
            <w:pPr>
              <w:jc w:val="right"/>
              <w:rPr>
                <w:rFonts w:ascii="FreeSerif" w:hAnsi="FreeSerif" w:cs="FreeSerif"/>
                <w:sz w:val="24"/>
                <w:szCs w:val="24"/>
              </w:rPr>
            </w:pPr>
            <w:r>
              <w:rPr>
                <w:rFonts w:ascii="FreeSerif" w:hAnsi="FreeSerif" w:eastAsia="FreeSerif" w:cs="FreeSerif"/>
                <w:b w:val="0"/>
                <w:i w:val="0"/>
                <w:strike w:val="0"/>
                <w:color w:val="000000"/>
                <w:sz w:val="24"/>
                <w:szCs w:val="24"/>
                <w:u w:val="none"/>
                <w:vertAlign w:val="baseline"/>
              </w:rPr>
              <w:t xml:space="preserve">1</w:t>
            </w:r>
            <w:r>
              <w:rPr>
                <w:rFonts w:ascii="FreeSerif" w:hAnsi="FreeSerif" w:cs="FreeSerif"/>
                <w:sz w:val="24"/>
                <w:szCs w:val="24"/>
              </w:rPr>
            </w:r>
            <w:r>
              <w:rPr>
                <w:rFonts w:ascii="FreeSerif" w:hAnsi="FreeSerif" w:cs="FreeSerif"/>
                <w:sz w:val="24"/>
                <w:szCs w:val="24"/>
              </w:rPr>
            </w:r>
          </w:p>
        </w:tc>
      </w:tr>
    </w:tbl>
    <w:p>
      <w:r/>
      <w:r/>
    </w:p>
    <w:p>
      <w:r/>
      <w:r/>
    </w:p>
    <w:p>
      <w:pPr>
        <w:pStyle w:val="836"/>
        <w:ind w:left="0" w:right="0" w:hanging="425"/>
        <w:jc w:val="left"/>
      </w:pPr>
      <w:r>
        <w:rPr>
          <w:rFonts w:ascii="FreeSerif" w:hAnsi="FreeSerif" w:cs="FreeSerif"/>
          <w:sz w:val="28"/>
          <w:szCs w:val="28"/>
          <w:highlight w:val="none"/>
        </w:rPr>
        <w:t xml:space="preserve">Заместитель главы </w:t>
      </w:r>
      <w:r/>
    </w:p>
    <w:p>
      <w:pPr>
        <w:pStyle w:val="836"/>
        <w:ind w:left="0" w:right="0" w:hanging="425"/>
        <w:jc w:val="left"/>
      </w:pPr>
      <w:r>
        <w:rPr>
          <w:rFonts w:ascii="FreeSerif" w:hAnsi="FreeSerif" w:cs="FreeSerif"/>
          <w:sz w:val="28"/>
          <w:szCs w:val="28"/>
          <w:highlight w:val="none"/>
        </w:rPr>
        <w:t xml:space="preserve">Ленинградского муниципального округа, </w:t>
      </w:r>
      <w:r/>
    </w:p>
    <w:p>
      <w:pPr>
        <w:pStyle w:val="836"/>
        <w:ind w:left="0" w:right="0" w:hanging="425"/>
        <w:jc w:val="left"/>
      </w:pPr>
      <w:r>
        <w:rPr>
          <w:rFonts w:ascii="FreeSerif" w:hAnsi="FreeSerif" w:cs="FreeSerif"/>
          <w:sz w:val="28"/>
          <w:szCs w:val="28"/>
          <w:highlight w:val="none"/>
        </w:rPr>
        <w:t xml:space="preserve">начальник отдела имущественных</w:t>
      </w:r>
      <w:r/>
    </w:p>
    <w:p>
      <w:pPr>
        <w:pStyle w:val="836"/>
        <w:ind w:left="0" w:right="0" w:hanging="425"/>
        <w:jc w:val="both"/>
        <w:rPr>
          <w:rFonts w:ascii="FreeSerif" w:hAnsi="FreeSerif" w:cs="FreeSerif"/>
          <w:sz w:val="28"/>
          <w:szCs w:val="28"/>
          <w:highlight w:val="none"/>
        </w:rPr>
      </w:pPr>
      <w:r>
        <w:rPr>
          <w:rFonts w:ascii="FreeSerif" w:hAnsi="FreeSerif" w:cs="FreeSerif"/>
          <w:sz w:val="28"/>
          <w:szCs w:val="28"/>
          <w:highlight w:val="none"/>
        </w:rPr>
        <w:t xml:space="preserve">отношений администрации                                                                      Р.Г. Тоцка</w:t>
      </w:r>
      <w:r>
        <w:rPr>
          <w:rFonts w:ascii="FreeSerif" w:hAnsi="FreeSerif" w:cs="FreeSerif"/>
          <w:sz w:val="28"/>
          <w:szCs w:val="28"/>
          <w:highlight w:val="none"/>
        </w:rPr>
        <w:t xml:space="preserve">я</w:t>
      </w:r>
      <w:r>
        <w:rPr>
          <w:rFonts w:ascii="FreeSerif" w:hAnsi="FreeSerif" w:cs="FreeSerif"/>
          <w:sz w:val="28"/>
          <w:szCs w:val="28"/>
          <w:highlight w:val="none"/>
        </w:rPr>
      </w:r>
      <w:r>
        <w:rPr>
          <w:rFonts w:ascii="FreeSerif" w:hAnsi="FreeSerif" w:cs="FreeSerif"/>
          <w:sz w:val="28"/>
          <w:szCs w:val="28"/>
          <w:highlight w:val="none"/>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0"/>
    <w:next w:val="830"/>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0"/>
    <w:next w:val="830"/>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0"/>
    <w:next w:val="830"/>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0"/>
    <w:next w:val="830"/>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0"/>
    <w:next w:val="830"/>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0"/>
    <w:next w:val="830"/>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0"/>
    <w:next w:val="830"/>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0"/>
    <w:next w:val="830"/>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 w:type="paragraph" w:styleId="836" w:customStyle="1">
    <w:name w:val="Без интервала"/>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2"/>
      <w:highlight w:val="none"/>
      <w:u w:val="none"/>
      <w:vertAlign w:val="baseline"/>
      <w:rtl w:val="0"/>
      <w:cs w:val="0"/>
      <w:lang w:val="ru-RU" w:eastAsia="en-US" w:bidi="ar-SA"/>
      <w14:ligatures w14:val="none"/>
    </w:rPr>
  </w:style>
  <w:style w:type="paragraph" w:styleId="837" w:customStyle="1">
    <w:name w:val="Обычный (веб),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uiPriority w:val="99"/>
    <w:qFormat/>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4</cp:revision>
  <dcterms:modified xsi:type="dcterms:W3CDTF">2026-02-03T14:27:59Z</dcterms:modified>
</cp:coreProperties>
</file>