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«22</w:t>
      </w:r>
      <w:r>
        <w:rPr>
          <w:rFonts w:ascii="Times New Roman" w:hAnsi="Times New Roman"/>
          <w:sz w:val="28"/>
        </w:rPr>
        <w:t>» января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Андрющенко</w:t>
            </w:r>
          </w:p>
          <w:p w14:paraId="11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Денис Валерьевич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, секретарь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Удод</w:t>
            </w: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Лилия Александровна</w:t>
            </w: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C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rPr>
                <w:rFonts w:ascii="Times New Roman" w:hAnsi="Times New Roman"/>
                <w:sz w:val="28"/>
              </w:rPr>
            </w:pPr>
          </w:p>
          <w:p w14:paraId="1F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доходов бюджета финансового управления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1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2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3000000">
            <w:pPr>
              <w:rPr>
                <w:rFonts w:ascii="Times New Roman" w:hAnsi="Times New Roman"/>
                <w:sz w:val="28"/>
              </w:rPr>
            </w:pPr>
          </w:p>
          <w:p w14:paraId="24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Романько Елена Дмитриевна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-заведующая сектором потребительской сферы отдела экономики администрации</w:t>
            </w:r>
          </w:p>
        </w:tc>
      </w:tr>
    </w:tbl>
    <w:p w14:paraId="27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29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2A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легализации трудовых отношений и легализации налоговой базы в части налога на доходы физических лиц. Основной целью работы, проводимой с налоговыми агентами, является изменение сознания работодателей и создание условий невозможности выплаты заработной платы «в конверте». </w:t>
      </w:r>
    </w:p>
    <w:p w14:paraId="2B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2C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 о невозможности выплаты заработной платы «в конверте», обратить внимание работодателей на: на своевременное оформление трудовых отношений с работниками, в результате чего работникам будут обеспечены социальные гарантии, а так же увеличится налоговая база по НДФЛ и страховым взносам, </w:t>
      </w:r>
      <w:r>
        <w:rPr>
          <w:rFonts w:ascii="XO Thames" w:hAnsi="XO Thames"/>
          <w:sz w:val="28"/>
        </w:rPr>
        <w:t xml:space="preserve">на своевременное перечисление НДФЛ в бюджет, на запрет выплаты «теневой» заработной платы и правовые последствия при таких выплатах. </w:t>
      </w:r>
      <w:r>
        <w:rPr>
          <w:rFonts w:ascii="XO Thames" w:hAnsi="XO Thames"/>
          <w:sz w:val="28"/>
        </w:rPr>
        <w:t>Что касается сотрудничества с самозанятыми, то законодательство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не запрещает организациям и ИП привлекать к выполнению работ и оказанию услуг для собственных нужд плательщиков налога на профессиональный доход. В то же самое время такое сотрудничество опять же не должно прикрывать собой фактически сложившиеся трудовые отношения.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И если работодатель сотрудничает с большим количеством самозанятых (больше 10 человек) на протяжении более 3 месяцев в году, то выплаты в пользу самозанятых лучше ограничить суммой в 20 000 рублей в месяц (приказ Минтруда от 02.02.2024 №40н). В противном случае есть риск переквалификации договоров с самозанятыми в трудовые договоры с последующим доначислением работодателю налогов </w:t>
      </w:r>
      <w:r>
        <w:rPr>
          <w:rFonts w:ascii="XO Thames" w:hAnsi="XO Thames"/>
          <w:sz w:val="28"/>
        </w:rPr>
        <w:t>и страховых взносов.</w:t>
      </w:r>
    </w:p>
    <w:p w14:paraId="2D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Активизировать работу, направленную на проведение комплекса мероприятий по легализации налоговой базы в части налога на доходы физических лиц. </w:t>
      </w:r>
    </w:p>
    <w:p w14:paraId="2E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и легализации налоговой базы в части налога на доходы физических лиц, который позволит сократить количество нарушений.</w:t>
      </w:r>
    </w:p>
    <w:p w14:paraId="2F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0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1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2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Strong"/>
    <w:basedOn w:val="Style_8"/>
    <w:link w:val="Style_13_ch"/>
    <w:rPr>
      <w:b w:val="1"/>
    </w:rPr>
  </w:style>
  <w:style w:styleId="Style_13_ch" w:type="character">
    <w:name w:val="Strong"/>
    <w:basedOn w:val="Style_8_ch"/>
    <w:link w:val="Style_13"/>
    <w:rPr>
      <w:b w:val="1"/>
    </w:rPr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6" w:type="paragraph">
    <w:name w:val="Emphasis"/>
    <w:basedOn w:val="Style_8"/>
    <w:link w:val="Style_16_ch"/>
    <w:rPr>
      <w:i w:val="1"/>
    </w:rPr>
  </w:style>
  <w:style w:styleId="Style_16_ch" w:type="character">
    <w:name w:val="Emphasis"/>
    <w:basedOn w:val="Style_8_ch"/>
    <w:link w:val="Style_16"/>
    <w:rPr>
      <w:i w:val="1"/>
    </w:rPr>
  </w:style>
  <w:style w:styleId="Style_17" w:type="paragraph">
    <w:name w:val="Hyperlink"/>
    <w:basedOn w:val="Style_8"/>
    <w:link w:val="Style_17_ch"/>
    <w:rPr>
      <w:color w:themeColor="hyperlink" w:val="0000FF"/>
      <w:u w:val="single"/>
    </w:rPr>
  </w:style>
  <w:style w:styleId="Style_17_ch" w:type="character">
    <w:name w:val="Hyperlink"/>
    <w:basedOn w:val="Style_8_ch"/>
    <w:link w:val="Style_17"/>
    <w:rPr>
      <w:color w:themeColor="hyperlink"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5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24" w:type="paragraph">
    <w:name w:val="Subtitle"/>
    <w:next w:val="Style_5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2026-01-22T12:24:29Z</dcterms:created>
  <dcterms:modified xsi:type="dcterms:W3CDTF">2026-07-20T07:41:04Z</dcterms:modified>
</cp:coreProperties>
</file>