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670"/>
        <w:tblW w:w="0" w:type="auto"/>
        <w:tblInd w:w="308" w:type="dxa"/>
        <w:tblLayout w:type="fixed"/>
        <w:tblLook w:val="04A0" w:firstRow="1" w:lastRow="0" w:firstColumn="1" w:lastColumn="0" w:noHBand="0" w:noVBand="1"/>
      </w:tblPr>
      <w:tblGrid>
        <w:gridCol w:w="734"/>
        <w:gridCol w:w="3365"/>
        <w:gridCol w:w="10281"/>
        <w:gridCol w:w="508"/>
      </w:tblGrid>
      <w:tr>
        <w:tblPrEx/>
        <w:trPr>
          <w:trHeight w:val="255"/>
        </w:trPr>
        <w:tc>
          <w:tcPr>
            <w:tcW w:w="734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0"/>
              </w:rPr>
            </w:pPr>
            <w:r>
              <w:rPr>
                <w:rFonts w:ascii="FreeSerif" w:hAnsi="FreeSerif" w:eastAsia="FreeSerif" w:cs="FreeSerif"/>
                <w:sz w:val="20"/>
              </w:rPr>
            </w:r>
            <w:r>
              <w:rPr>
                <w:rFonts w:ascii="FreeSerif" w:hAnsi="FreeSerif" w:cs="FreeSerif"/>
                <w:sz w:val="20"/>
              </w:rPr>
            </w:r>
          </w:p>
        </w:tc>
        <w:tc>
          <w:tcPr>
            <w:tcW w:w="3365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0"/>
              </w:rPr>
            </w:pPr>
            <w:r>
              <w:rPr>
                <w:rFonts w:ascii="FreeSerif" w:hAnsi="FreeSerif" w:eastAsia="FreeSerif" w:cs="FreeSerif"/>
                <w:sz w:val="20"/>
              </w:rPr>
            </w:r>
            <w:r>
              <w:rPr>
                <w:rFonts w:ascii="FreeSerif" w:hAnsi="FreeSerif" w:cs="FreeSerif"/>
                <w:sz w:val="20"/>
              </w:rPr>
            </w:r>
          </w:p>
        </w:tc>
        <w:tc>
          <w:tcPr>
            <w:tcW w:w="10281" w:type="dxa"/>
            <w:vAlign w:val="bottom"/>
            <w:textDirection w:val="lrTb"/>
            <w:noWrap w:val="false"/>
          </w:tcPr>
          <w:p>
            <w:pPr>
              <w:pStyle w:val="642"/>
              <w:ind w:left="5374" w:right="-108"/>
              <w:jc w:val="left"/>
              <w:widowControl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П</w:t>
            </w:r>
            <w:r>
              <w:rPr>
                <w:rFonts w:ascii="FreeSerif" w:hAnsi="FreeSerif" w:eastAsia="FreeSerif" w:cs="FreeSerif"/>
              </w:rPr>
              <w:t xml:space="preserve">риложение </w:t>
            </w:r>
            <w:r>
              <w:rPr>
                <w:rFonts w:ascii="FreeSerif" w:hAnsi="FreeSerif" w:eastAsia="FreeSerif" w:cs="FreeSerif"/>
              </w:rPr>
            </w:r>
          </w:p>
          <w:p>
            <w:pPr>
              <w:pStyle w:val="642"/>
              <w:ind w:left="5374" w:right="-108"/>
              <w:jc w:val="left"/>
              <w:widowControl/>
              <w:rPr>
                <w:rFonts w:ascii="FreeSerif" w:hAnsi="FreeSerif" w:eastAsia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к решению Совета </w:t>
            </w:r>
            <w:r>
              <w:rPr>
                <w:rFonts w:ascii="FreeSerif" w:hAnsi="FreeSerif" w:cs="FreeSerif"/>
              </w:rPr>
            </w:r>
          </w:p>
          <w:p>
            <w:pPr>
              <w:pStyle w:val="642"/>
              <w:ind w:left="5374" w:right="-108"/>
              <w:jc w:val="left"/>
              <w:widowControl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муниципального образования Ленинградский муниципальный округ </w:t>
            </w:r>
            <w:r>
              <w:rPr>
                <w:rFonts w:ascii="FreeSerif" w:hAnsi="FreeSerif" w:eastAsia="FreeSerif" w:cs="FreeSerif"/>
              </w:rPr>
            </w:r>
            <w:r/>
          </w:p>
          <w:p>
            <w:pPr>
              <w:pStyle w:val="642"/>
              <w:ind w:left="5374" w:right="-108"/>
              <w:jc w:val="left"/>
              <w:widowControl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Краснодарского края </w:t>
            </w:r>
            <w:r>
              <w:rPr>
                <w:rFonts w:ascii="FreeSerif" w:hAnsi="FreeSerif" w:eastAsia="FreeSerif" w:cs="FreeSerif"/>
              </w:rPr>
            </w:r>
          </w:p>
          <w:p>
            <w:pPr>
              <w:pStyle w:val="642"/>
              <w:ind w:left="5374" w:right="-108"/>
              <w:jc w:val="left"/>
              <w:widowControl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от 27.08.2026 г. № 68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508" w:type="dxa"/>
            <w:textDirection w:val="lrTb"/>
            <w:noWrap w:val="false"/>
          </w:tcPr>
          <w:p>
            <w:pPr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/>
        <w:trPr>
          <w:trHeight w:val="255"/>
        </w:trPr>
        <w:tc>
          <w:tcPr>
            <w:tcW w:w="734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0"/>
              </w:rPr>
            </w:pPr>
            <w:r>
              <w:rPr>
                <w:rFonts w:ascii="FreeSerif" w:hAnsi="FreeSerif" w:eastAsia="FreeSerif" w:cs="FreeSerif"/>
                <w:sz w:val="20"/>
              </w:rPr>
            </w:r>
            <w:r>
              <w:rPr>
                <w:rFonts w:ascii="FreeSerif" w:hAnsi="FreeSerif" w:cs="FreeSerif"/>
                <w:sz w:val="20"/>
              </w:rPr>
            </w:r>
          </w:p>
        </w:tc>
        <w:tc>
          <w:tcPr>
            <w:tcW w:w="3365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0"/>
              </w:rPr>
            </w:pPr>
            <w:r>
              <w:rPr>
                <w:rFonts w:ascii="FreeSerif" w:hAnsi="FreeSerif" w:eastAsia="FreeSerif" w:cs="FreeSerif"/>
                <w:sz w:val="20"/>
              </w:rPr>
            </w:r>
            <w:r>
              <w:rPr>
                <w:rFonts w:ascii="FreeSerif" w:hAnsi="FreeSerif" w:cs="FreeSerif"/>
                <w:sz w:val="20"/>
              </w:rPr>
            </w:r>
          </w:p>
        </w:tc>
        <w:tc>
          <w:tcPr>
            <w:tcW w:w="10281" w:type="dxa"/>
            <w:vAlign w:val="bottom"/>
            <w:textDirection w:val="lrTb"/>
            <w:noWrap w:val="false"/>
          </w:tcPr>
          <w:p>
            <w:pPr>
              <w:ind w:left="5374" w:right="-108"/>
              <w:widowControl/>
              <w:rPr>
                <w:rFonts w:ascii="FreeSerif" w:hAnsi="FreeSerif" w:cs="FreeSerif"/>
                <w:sz w:val="28"/>
              </w:rPr>
            </w:pPr>
            <w:r>
              <w:rPr>
                <w:rFonts w:ascii="FreeSerif" w:hAnsi="FreeSerif" w:eastAsia="FreeSerif" w:cs="FreeSerif"/>
                <w:sz w:val="28"/>
              </w:rPr>
            </w:r>
            <w:r>
              <w:rPr>
                <w:rFonts w:ascii="FreeSerif" w:hAnsi="FreeSerif" w:cs="FreeSerif"/>
                <w:sz w:val="28"/>
              </w:rPr>
            </w:r>
          </w:p>
          <w:p>
            <w:pPr>
              <w:ind w:left="5374" w:right="-108"/>
              <w:widowControl/>
              <w:rPr>
                <w:rFonts w:ascii="FreeSerif" w:hAnsi="FreeSerif" w:cs="FreeSerif"/>
                <w:sz w:val="28"/>
              </w:rPr>
            </w:pPr>
            <w:r>
              <w:rPr>
                <w:rFonts w:ascii="FreeSerif" w:hAnsi="FreeSerif" w:eastAsia="FreeSerif" w:cs="FreeSerif"/>
                <w:sz w:val="28"/>
                <w:lang w:val="ru-RU"/>
              </w:rPr>
              <w:t xml:space="preserve">«Приложение </w:t>
            </w:r>
            <w:r>
              <w:rPr>
                <w:rFonts w:ascii="FreeSerif" w:hAnsi="FreeSerif" w:cs="FreeSerif"/>
                <w:sz w:val="28"/>
              </w:rPr>
            </w:r>
          </w:p>
          <w:p>
            <w:pPr>
              <w:ind w:left="5374" w:right="-108"/>
              <w:widowControl/>
              <w:rPr>
                <w:rFonts w:ascii="FreeSerif" w:hAnsi="FreeSerif" w:cs="FreeSerif"/>
                <w:sz w:val="28"/>
              </w:rPr>
            </w:pPr>
            <w:r>
              <w:rPr>
                <w:rFonts w:ascii="FreeSerif" w:hAnsi="FreeSerif" w:eastAsia="FreeSerif" w:cs="FreeSerif"/>
                <w:sz w:val="28"/>
                <w:lang w:val="ru-RU"/>
              </w:rPr>
              <w:t xml:space="preserve">к </w:t>
            </w:r>
            <w:r>
              <w:rPr>
                <w:rFonts w:ascii="FreeSerif" w:hAnsi="FreeSerif" w:eastAsia="FreeSerif" w:cs="FreeSerif"/>
                <w:sz w:val="28"/>
                <w:lang w:val="ru-RU"/>
              </w:rPr>
              <w:t xml:space="preserve">Прогнозному плану </w:t>
            </w:r>
            <w:r>
              <w:rPr>
                <w:rFonts w:ascii="FreeSerif" w:hAnsi="FreeSerif" w:cs="FreeSerif"/>
                <w:sz w:val="28"/>
              </w:rPr>
            </w:r>
          </w:p>
          <w:p>
            <w:pPr>
              <w:ind w:left="5374" w:right="-108"/>
              <w:widowControl/>
              <w:rPr>
                <w:rFonts w:ascii="FreeSerif" w:hAnsi="FreeSerif" w:cs="FreeSerif"/>
                <w:sz w:val="28"/>
              </w:rPr>
            </w:pPr>
            <w:r>
              <w:rPr>
                <w:rFonts w:ascii="FreeSerif" w:hAnsi="FreeSerif" w:eastAsia="FreeSerif" w:cs="FreeSerif"/>
                <w:sz w:val="28"/>
                <w:lang w:val="ru-RU"/>
              </w:rPr>
              <w:t xml:space="preserve">(п</w:t>
            </w:r>
            <w:r>
              <w:rPr>
                <w:rFonts w:ascii="FreeSerif" w:hAnsi="FreeSerif" w:eastAsia="FreeSerif" w:cs="FreeSerif"/>
                <w:sz w:val="28"/>
                <w:lang w:val="ru-RU"/>
              </w:rPr>
              <w:t xml:space="preserve">рограмме</w:t>
            </w:r>
            <w:r>
              <w:rPr>
                <w:rFonts w:ascii="FreeSerif" w:hAnsi="FreeSerif" w:eastAsia="FreeSerif" w:cs="FreeSerif"/>
                <w:sz w:val="28"/>
                <w:lang w:val="ru-RU"/>
              </w:rPr>
              <w:t xml:space="preserve">)</w:t>
            </w:r>
            <w:r>
              <w:rPr>
                <w:rFonts w:ascii="FreeSerif" w:hAnsi="FreeSerif" w:eastAsia="FreeSerif" w:cs="FreeSerif"/>
                <w:sz w:val="28"/>
                <w:lang w:val="ru-RU"/>
              </w:rPr>
              <w:t xml:space="preserve"> приватизации</w:t>
            </w:r>
            <w:r>
              <w:rPr>
                <w:rFonts w:ascii="FreeSerif" w:hAnsi="FreeSerif" w:cs="FreeSerif"/>
                <w:sz w:val="28"/>
              </w:rPr>
            </w:r>
          </w:p>
        </w:tc>
        <w:tc>
          <w:tcPr>
            <w:tcW w:w="508" w:type="dxa"/>
            <w:textDirection w:val="lrTb"/>
            <w:noWrap w:val="false"/>
          </w:tcPr>
          <w:p>
            <w:pPr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/>
        <w:trPr>
          <w:trHeight w:val="255"/>
        </w:trPr>
        <w:tc>
          <w:tcPr>
            <w:tcW w:w="734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0"/>
              </w:rPr>
            </w:pPr>
            <w:r>
              <w:rPr>
                <w:rFonts w:ascii="FreeSerif" w:hAnsi="FreeSerif" w:eastAsia="FreeSerif" w:cs="FreeSerif"/>
                <w:sz w:val="20"/>
              </w:rPr>
            </w:r>
            <w:r>
              <w:rPr>
                <w:rFonts w:ascii="FreeSerif" w:hAnsi="FreeSerif" w:cs="FreeSerif"/>
                <w:sz w:val="20"/>
              </w:rPr>
            </w:r>
          </w:p>
        </w:tc>
        <w:tc>
          <w:tcPr>
            <w:tcW w:w="3365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0"/>
              </w:rPr>
            </w:pPr>
            <w:r>
              <w:rPr>
                <w:rFonts w:ascii="FreeSerif" w:hAnsi="FreeSerif" w:eastAsia="FreeSerif" w:cs="FreeSerif"/>
                <w:sz w:val="20"/>
              </w:rPr>
            </w:r>
            <w:r>
              <w:rPr>
                <w:rFonts w:ascii="FreeSerif" w:hAnsi="FreeSerif" w:cs="FreeSerif"/>
                <w:sz w:val="20"/>
              </w:rPr>
            </w:r>
          </w:p>
        </w:tc>
        <w:tc>
          <w:tcPr>
            <w:tcW w:w="10281" w:type="dxa"/>
            <w:vAlign w:val="bottom"/>
            <w:textDirection w:val="lrTb"/>
            <w:noWrap w:val="false"/>
          </w:tcPr>
          <w:p>
            <w:pPr>
              <w:ind w:left="5374" w:right="-108"/>
              <w:widowControl/>
              <w:rPr>
                <w:rFonts w:ascii="FreeSerif" w:hAnsi="FreeSerif" w:cs="FreeSerif"/>
                <w:sz w:val="28"/>
              </w:rPr>
            </w:pPr>
            <w:r>
              <w:rPr>
                <w:rFonts w:ascii="FreeSerif" w:hAnsi="FreeSerif" w:eastAsia="FreeSerif" w:cs="FreeSerif"/>
                <w:sz w:val="28"/>
                <w:lang w:val="ru-RU"/>
              </w:rPr>
              <w:t xml:space="preserve">муниципального имущества</w:t>
            </w:r>
            <w:r>
              <w:rPr>
                <w:rFonts w:ascii="FreeSerif" w:hAnsi="FreeSerif" w:cs="FreeSerif"/>
                <w:sz w:val="28"/>
              </w:rPr>
            </w:r>
          </w:p>
          <w:p>
            <w:pPr>
              <w:ind w:left="5374" w:right="-108"/>
              <w:widowControl/>
              <w:rPr>
                <w:rFonts w:ascii="FreeSerif" w:hAnsi="FreeSerif" w:cs="FreeSerif"/>
                <w:sz w:val="28"/>
              </w:rPr>
            </w:pPr>
            <w:r>
              <w:rPr>
                <w:rFonts w:ascii="FreeSerif" w:hAnsi="FreeSerif" w:eastAsia="FreeSerif" w:cs="FreeSerif"/>
                <w:sz w:val="28"/>
                <w:lang w:val="ru-RU"/>
              </w:rPr>
              <w:t xml:space="preserve">Ленинградский муниципальный округ </w:t>
            </w:r>
            <w:r>
              <w:rPr>
                <w:rFonts w:ascii="FreeSerif" w:hAnsi="FreeSerif" w:cs="FreeSerif"/>
                <w:sz w:val="28"/>
              </w:rPr>
            </w:r>
          </w:p>
          <w:p>
            <w:pPr>
              <w:ind w:left="5374" w:right="-108"/>
              <w:widowControl/>
              <w:rPr>
                <w:rFonts w:ascii="FreeSerif" w:hAnsi="FreeSerif" w:cs="FreeSerif"/>
                <w:sz w:val="28"/>
              </w:rPr>
            </w:pPr>
            <w:r>
              <w:rPr>
                <w:rFonts w:ascii="FreeSerif" w:hAnsi="FreeSerif" w:eastAsia="FreeSerif" w:cs="FreeSerif"/>
                <w:sz w:val="28"/>
                <w:lang w:val="ru-RU"/>
              </w:rPr>
              <w:t xml:space="preserve">Краснодарского края</w:t>
            </w:r>
            <w:r>
              <w:rPr>
                <w:rFonts w:ascii="FreeSerif" w:hAnsi="FreeSerif" w:eastAsia="FreeSerif" w:cs="FreeSerif"/>
                <w:sz w:val="28"/>
                <w:lang w:val="ru-RU"/>
              </w:rPr>
              <w:t xml:space="preserve"> </w:t>
            </w:r>
            <w:r>
              <w:rPr>
                <w:rFonts w:ascii="FreeSerif" w:hAnsi="FreeSerif" w:eastAsia="FreeSerif" w:cs="FreeSerif"/>
                <w:sz w:val="28"/>
                <w:lang w:val="ru-RU"/>
              </w:rPr>
              <w:t xml:space="preserve">на </w:t>
            </w:r>
            <w:r>
              <w:rPr>
                <w:rFonts w:ascii="FreeSerif" w:hAnsi="FreeSerif" w:eastAsia="FreeSerif" w:cs="FreeSerif"/>
                <w:sz w:val="28"/>
                <w:lang w:val="ru-RU"/>
              </w:rPr>
              <w:t xml:space="preserve">2026 </w:t>
            </w:r>
            <w:r>
              <w:rPr>
                <w:rFonts w:ascii="FreeSerif" w:hAnsi="FreeSerif" w:eastAsia="FreeSerif" w:cs="FreeSerif"/>
                <w:sz w:val="28"/>
                <w:lang w:val="ru-RU"/>
              </w:rPr>
              <w:t xml:space="preserve">г</w:t>
            </w:r>
            <w:r>
              <w:rPr>
                <w:rFonts w:ascii="FreeSerif" w:hAnsi="FreeSerif" w:eastAsia="FreeSerif" w:cs="FreeSerif"/>
                <w:sz w:val="28"/>
                <w:lang w:val="ru-RU"/>
              </w:rPr>
              <w:t xml:space="preserve">.</w:t>
            </w:r>
            <w:r>
              <w:rPr>
                <w:rFonts w:ascii="FreeSerif" w:hAnsi="FreeSerif" w:cs="FreeSerif"/>
                <w:sz w:val="28"/>
              </w:rPr>
            </w:r>
          </w:p>
        </w:tc>
        <w:tc>
          <w:tcPr>
            <w:tcW w:w="508" w:type="dxa"/>
            <w:textDirection w:val="lrTb"/>
            <w:noWrap w:val="false"/>
          </w:tcPr>
          <w:p>
            <w:pPr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/>
        <w:trPr>
          <w:trHeight w:val="315"/>
        </w:trPr>
        <w:tc>
          <w:tcPr>
            <w:gridSpan w:val="4"/>
            <w:tcW w:w="14888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</w:r>
            <w:r>
              <w:rPr>
                <w:rFonts w:ascii="FreeSerif" w:hAnsi="FreeSerif" w:eastAsia="FreeSerif" w:cs="FreeSerif"/>
              </w:rPr>
            </w:r>
          </w:p>
          <w:p>
            <w:pPr>
              <w:jc w:val="center"/>
              <w:widowControl/>
              <w:rPr>
                <w:rFonts w:ascii="FreeSerif" w:hAnsi="FreeSerif" w:cs="FreeSerif"/>
                <w:b/>
                <w:sz w:val="28"/>
              </w:rPr>
            </w:pPr>
            <w:r>
              <w:rPr>
                <w:rFonts w:ascii="FreeSerif" w:hAnsi="FreeSerif" w:eastAsia="FreeSerif" w:cs="FreeSerif"/>
                <w:b/>
                <w:sz w:val="28"/>
                <w:lang w:val="en-US"/>
              </w:rPr>
              <w:fldChar w:fldCharType="begin"/>
            </w:r>
            <w:r>
              <w:rPr>
                <w:rFonts w:ascii="FreeSerif" w:hAnsi="FreeSerif" w:eastAsia="FreeSerif" w:cs="FreeSerif"/>
                <w:b/>
                <w:sz w:val="28"/>
                <w:lang w:val="en-US"/>
              </w:rPr>
              <w:instrText xml:space="preserve">HYPERLINK "consultantplus://offline/ref=3AEDC99338AC3C5A7EF02C6C659ECDF6A36BCA65A9C49E308155A225D16DEA0F84E1B2322FD63CE5596A9EQ9K1J"</w:instrText>
            </w:r>
            <w:r>
              <w:rPr>
                <w:rFonts w:ascii="FreeSerif" w:hAnsi="FreeSerif" w:eastAsia="FreeSerif" w:cs="FreeSerif"/>
                <w:b/>
                <w:sz w:val="28"/>
                <w:lang w:val="en-US"/>
              </w:rPr>
              <w:fldChar w:fldCharType="separate"/>
            </w:r>
            <w:r>
              <w:rPr>
                <w:rFonts w:ascii="FreeSerif" w:hAnsi="FreeSerif" w:eastAsia="FreeSerif" w:cs="FreeSerif"/>
                <w:b/>
                <w:sz w:val="28"/>
                <w:lang w:val="ru-RU"/>
              </w:rPr>
              <w:t xml:space="preserve">Перечень</w:t>
            </w:r>
            <w:r>
              <w:rPr>
                <w:rFonts w:ascii="FreeSerif" w:hAnsi="FreeSerif" w:eastAsia="FreeSerif" w:cs="FreeSerif"/>
                <w:b/>
                <w:sz w:val="28"/>
                <w:lang w:val="ru-RU"/>
              </w:rPr>
              <w:fldChar w:fldCharType="end"/>
            </w:r>
            <w:r>
              <w:rPr>
                <w:rFonts w:ascii="FreeSerif" w:hAnsi="FreeSerif" w:eastAsia="FreeSerif" w:cs="FreeSerif"/>
                <w:b/>
                <w:sz w:val="28"/>
                <w:lang w:val="ru-RU"/>
              </w:rPr>
              <w:t xml:space="preserve"> объектов муниципальной собственности, подлежащих приватизации</w:t>
            </w:r>
            <w:r>
              <w:rPr>
                <w:rFonts w:ascii="FreeSerif" w:hAnsi="FreeSerif" w:eastAsia="FreeSerif" w:cs="FreeSerif"/>
                <w:b/>
                <w:sz w:val="28"/>
                <w:lang w:val="ru-RU"/>
              </w:rPr>
              <w:t xml:space="preserve"> </w:t>
            </w:r>
            <w:r>
              <w:rPr>
                <w:rFonts w:ascii="FreeSerif" w:hAnsi="FreeSerif" w:eastAsia="FreeSerif" w:cs="FreeSerif"/>
                <w:b/>
                <w:sz w:val="28"/>
                <w:lang w:val="ru-RU"/>
              </w:rPr>
              <w:t xml:space="preserve">в</w:t>
            </w:r>
            <w:r>
              <w:rPr>
                <w:rFonts w:ascii="FreeSerif" w:hAnsi="FreeSerif" w:eastAsia="FreeSerif" w:cs="FreeSerif"/>
                <w:b/>
                <w:sz w:val="28"/>
                <w:lang w:val="ru-RU"/>
              </w:rPr>
              <w:t xml:space="preserve"> </w:t>
            </w:r>
            <w:r>
              <w:rPr>
                <w:rFonts w:ascii="FreeSerif" w:hAnsi="FreeSerif" w:eastAsia="FreeSerif" w:cs="FreeSerif"/>
                <w:b/>
                <w:sz w:val="28"/>
                <w:lang w:val="ru-RU"/>
              </w:rPr>
              <w:t xml:space="preserve">20</w:t>
            </w:r>
            <w:r>
              <w:rPr>
                <w:rFonts w:ascii="FreeSerif" w:hAnsi="FreeSerif" w:eastAsia="FreeSerif" w:cs="FreeSerif"/>
                <w:b/>
                <w:sz w:val="28"/>
                <w:lang w:val="ru-RU"/>
              </w:rPr>
              <w:t xml:space="preserve">26 </w:t>
            </w:r>
            <w:r>
              <w:rPr>
                <w:rFonts w:ascii="FreeSerif" w:hAnsi="FreeSerif" w:eastAsia="FreeSerif" w:cs="FreeSerif"/>
                <w:b/>
                <w:sz w:val="28"/>
                <w:lang w:val="ru-RU"/>
              </w:rPr>
              <w:t xml:space="preserve">г</w:t>
            </w:r>
            <w:r>
              <w:rPr>
                <w:rFonts w:ascii="FreeSerif" w:hAnsi="FreeSerif" w:eastAsia="FreeSerif" w:cs="FreeSerif"/>
                <w:b/>
                <w:sz w:val="28"/>
                <w:lang w:val="ru-RU"/>
              </w:rPr>
              <w:t xml:space="preserve">.</w:t>
            </w:r>
            <w:r>
              <w:rPr>
                <w:rFonts w:ascii="FreeSerif" w:hAnsi="FreeSerif" w:cs="FreeSerif"/>
                <w:b/>
                <w:sz w:val="28"/>
              </w:rPr>
            </w:r>
          </w:p>
        </w:tc>
      </w:tr>
    </w:tbl>
    <w:p>
      <w:pPr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</w:p>
    <w:tbl>
      <w:tblPr>
        <w:tblStyle w:val="670"/>
        <w:tblW w:w="0" w:type="auto"/>
        <w:tblInd w:w="-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434"/>
        <w:gridCol w:w="3290"/>
        <w:gridCol w:w="3332"/>
        <w:gridCol w:w="2977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8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№</w:t>
            </w:r>
            <w:r>
              <w:rPr>
                <w:rFonts w:ascii="FreeSerif" w:hAnsi="FreeSerif" w:eastAsia="FreeSerif" w:cs="FreeSerif"/>
              </w:rPr>
            </w:r>
          </w:p>
          <w:p>
            <w:pPr>
              <w:jc w:val="center"/>
              <w:widowControl w:val="off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п/п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Наименование </w:t>
            </w:r>
            <w:r>
              <w:rPr>
                <w:rFonts w:ascii="FreeSerif" w:hAnsi="FreeSerif" w:eastAsia="FreeSerif" w:cs="FreeSerif"/>
              </w:rPr>
              <w:t xml:space="preserve">объектов </w:t>
            </w:r>
            <w:r>
              <w:rPr>
                <w:rFonts w:ascii="FreeSerif" w:hAnsi="FreeSerif" w:eastAsia="FreeSerif" w:cs="FreeSerif"/>
              </w:rPr>
            </w:r>
          </w:p>
          <w:p>
            <w:pPr>
              <w:jc w:val="center"/>
              <w:widowControl w:val="off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муниципальной собственности</w:t>
            </w:r>
            <w:r>
              <w:rPr>
                <w:rFonts w:ascii="FreeSerif" w:hAnsi="FreeSerif" w:eastAsia="FreeSerif" w:cs="FreeSerif"/>
              </w:rPr>
              <w:t xml:space="preserve">, адрес местонахождения</w:t>
            </w:r>
            <w:r>
              <w:rPr>
                <w:rFonts w:ascii="FreeSerif" w:hAnsi="FreeSerif" w:eastAsia="FreeSerif" w:cs="FreeSerif"/>
              </w:rPr>
              <w:t xml:space="preserve"> 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90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Основные технические характеристики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2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Способ приватизации 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Срок приватизации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8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1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4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Нежилое здание, столовая,  Краснодарский край, Ленинградский район, х.Куликовский, ул.Советов, дом № 18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90" w:type="dxa"/>
            <w:textDirection w:val="lrTb"/>
            <w:noWrap w:val="false"/>
          </w:tcPr>
          <w:p>
            <w:pPr>
              <w:widowControl w:val="off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кадастровый номер </w:t>
            </w:r>
            <w:r>
              <w:rPr>
                <w:rFonts w:ascii="FreeSerif" w:hAnsi="FreeSerif" w:eastAsia="FreeSerif" w:cs="FreeSerif"/>
              </w:rPr>
            </w:r>
          </w:p>
          <w:p>
            <w:pPr>
              <w:widowControl w:val="off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23:19:0202027:31, общей площадью 336 кв.м.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2" w:type="dxa"/>
            <w:textDirection w:val="lrTb"/>
            <w:noWrap w:val="false"/>
          </w:tcPr>
          <w:p>
            <w:pPr>
              <w:ind w:left="-108"/>
              <w:jc w:val="center"/>
              <w:widowControl w:val="off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Аукцион в электронной форме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1-4 квартал 2026 г.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8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4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Земельный участок, </w:t>
            </w:r>
            <w:r>
              <w:rPr>
                <w:rFonts w:ascii="FreeSerif" w:hAnsi="FreeSerif" w:eastAsia="FreeSerif" w:cs="FreeSerif"/>
              </w:rPr>
              <w:t xml:space="preserve">Краснодарский край, Ленинградский район, х.Куликовский, ул.Советов, 18</w:t>
            </w:r>
            <w:r>
              <w:rPr>
                <w:rFonts w:ascii="FreeSerif" w:hAnsi="FreeSerif" w:eastAsia="FreeSerif" w:cs="FreeSerif"/>
              </w:rPr>
              <w:t xml:space="preserve"> 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90" w:type="dxa"/>
            <w:textDirection w:val="lrTb"/>
            <w:noWrap w:val="false"/>
          </w:tcPr>
          <w:p>
            <w:pPr>
              <w:widowControl w:val="off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кадастровый номер </w:t>
            </w:r>
            <w:r>
              <w:rPr>
                <w:rFonts w:ascii="FreeSerif" w:hAnsi="FreeSerif" w:eastAsia="FreeSerif" w:cs="FreeSerif"/>
              </w:rPr>
            </w:r>
          </w:p>
          <w:p>
            <w:pPr>
              <w:widowControl w:val="off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23:19:0202027:26, общей площадью 1759 кв.м.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2" w:type="dxa"/>
            <w:textDirection w:val="lrTb"/>
            <w:noWrap w:val="false"/>
          </w:tcPr>
          <w:p>
            <w:pPr>
              <w:ind w:left="-108"/>
              <w:widowControl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Аукцион в электронной форме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1-4 квартал 2026 г.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8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3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4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Нежилое здание, Краснодарский край, Ленинградский район, ст. Ленинградская, ул. Кооперации, дом № 137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90" w:type="dxa"/>
            <w:textDirection w:val="lrTb"/>
            <w:noWrap w:val="false"/>
          </w:tcPr>
          <w:p>
            <w:pPr>
              <w:widowControl w:val="off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кадастровый номер </w:t>
            </w:r>
            <w:r>
              <w:rPr>
                <w:rFonts w:ascii="FreeSerif" w:hAnsi="FreeSerif" w:eastAsia="FreeSerif" w:cs="FreeSerif"/>
              </w:rPr>
            </w:r>
          </w:p>
          <w:p>
            <w:pPr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23:19:0106128:131, общей площадью 262,6 кв.м.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2" w:type="dxa"/>
            <w:textDirection w:val="lrTb"/>
            <w:noWrap w:val="false"/>
          </w:tcPr>
          <w:p>
            <w:pPr>
              <w:ind w:left="-108"/>
              <w:widowControl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Аукцион в электронной форме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1-4 квартал 2026 г.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8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4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4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Земельный участок, Краснодарский край, Ленинградский район, ст. Ленинградская, ул. Кооперации, 137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90" w:type="dxa"/>
            <w:textDirection w:val="lrTb"/>
            <w:noWrap w:val="false"/>
          </w:tcPr>
          <w:p>
            <w:pPr>
              <w:widowControl w:val="off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кадастровый номер </w:t>
            </w:r>
            <w:r>
              <w:rPr>
                <w:rFonts w:ascii="FreeSerif" w:hAnsi="FreeSerif" w:eastAsia="FreeSerif" w:cs="FreeSerif"/>
              </w:rPr>
            </w:r>
          </w:p>
          <w:p>
            <w:pPr>
              <w:widowControl w:val="off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23:19:0106128:48, общей площадью 152 кв.м.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2" w:type="dxa"/>
            <w:textDirection w:val="lrTb"/>
            <w:noWrap w:val="false"/>
          </w:tcPr>
          <w:p>
            <w:pPr>
              <w:ind w:left="-108"/>
              <w:widowControl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Аукцион в электронной форме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1-4 квартал 2026 г.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8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5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4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Автомобиль Вольво S80, </w:t>
            </w:r>
            <w:r>
              <w:rPr>
                <w:rFonts w:ascii="FreeSerif" w:hAnsi="FreeSerif" w:eastAsia="FreeSerif" w:cs="FreeSerif"/>
              </w:rPr>
              <w:t xml:space="preserve">Краснодарский край, Ленинградский район, ст. Ленинградская, ул. Чернышевского, дом № 179</w:t>
            </w:r>
            <w:r>
              <w:rPr>
                <w:rFonts w:ascii="FreeSerif" w:hAnsi="FreeSerif" w:eastAsia="FreeSerif" w:cs="FreeSerif"/>
              </w:rPr>
            </w:r>
          </w:p>
          <w:p>
            <w:pPr>
              <w:jc w:val="both"/>
              <w:widowControl w:val="off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90" w:type="dxa"/>
            <w:textDirection w:val="lrTb"/>
            <w:noWrap w:val="false"/>
          </w:tcPr>
          <w:p>
            <w:pPr>
              <w:widowControl w:val="off"/>
              <w:rPr>
                <w:rFonts w:ascii="FreeSerif" w:hAnsi="FreeSerif" w:cs="FreeSerif"/>
                <w:sz w:val="24"/>
              </w:rPr>
            </w:pPr>
            <w:r>
              <w:rPr>
                <w:rFonts w:ascii="FreeSerif" w:hAnsi="FreeSerif" w:eastAsia="FreeSerif" w:cs="FreeSerif"/>
                <w:sz w:val="24"/>
                <w:lang w:val="ru-RU"/>
              </w:rPr>
              <w:t xml:space="preserve">государственный регистрационный знак М378УР123, год выпуска ТС 2003, тип ТС легковой седан, цвет черный, кузов № YV1TS91J541337465,  паспорт ТС 23 ОХ 729756 выдан 21 ноября 2018 г., свидетельство о регистрации ТС № 99 88 628893 выдано 28 июля 2026 г.</w:t>
            </w:r>
            <w:r>
              <w:rPr>
                <w:rFonts w:ascii="FreeSerif" w:hAnsi="FreeSerif" w:cs="FreeSerif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2" w:type="dxa"/>
            <w:textDirection w:val="lrTb"/>
            <w:noWrap w:val="false"/>
          </w:tcPr>
          <w:p>
            <w:pPr>
              <w:ind w:left="-108"/>
              <w:widowControl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Аукцион в электронной форме</w:t>
            </w:r>
            <w:r>
              <w:rPr>
                <w:rFonts w:ascii="FreeSerif" w:hAnsi="FreeSerif" w:eastAsia="FreeSerif" w:cs="FreeSerif"/>
              </w:rPr>
            </w:r>
          </w:p>
          <w:p>
            <w:pPr>
              <w:ind w:left="-108"/>
              <w:widowControl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1-4 квартал 2026 г.</w:t>
            </w:r>
            <w:r>
              <w:rPr>
                <w:rFonts w:ascii="FreeSerif" w:hAnsi="FreeSerif" w:eastAsia="FreeSerif" w:cs="FreeSerif"/>
              </w:rPr>
            </w:r>
          </w:p>
          <w:p>
            <w:pPr>
              <w:jc w:val="center"/>
              <w:widowControl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</w:r>
            <w:r>
              <w:rPr>
                <w:rFonts w:ascii="FreeSerif" w:hAnsi="FreeSerif" w:eastAsia="FreeSerif" w:cs="FreeSerif"/>
              </w:rPr>
            </w:r>
          </w:p>
        </w:tc>
      </w:tr>
    </w:tbl>
    <w:p>
      <w:pPr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».</w:t>
      </w:r>
      <w:r>
        <w:rPr>
          <w:rFonts w:ascii="FreeSerif" w:hAnsi="FreeSerif" w:cs="FreeSerif"/>
          <w:sz w:val="28"/>
        </w:rPr>
      </w:r>
    </w:p>
    <w:p>
      <w:pPr>
        <w:rPr>
          <w:rFonts w:ascii="FreeSerif" w:hAnsi="FreeSerif" w:cs="FreeSerif"/>
        </w:rPr>
      </w:pPr>
      <w:r>
        <w:rPr>
          <w:rFonts w:ascii="FreeSerif" w:hAnsi="FreeSerif" w:eastAsia="FreeSerif" w:cs="FreeSerif"/>
        </w:rPr>
      </w:r>
      <w:r>
        <w:rPr>
          <w:rFonts w:ascii="FreeSerif" w:hAnsi="FreeSerif" w:eastAsia="FreeSerif" w:cs="FreeSerif"/>
        </w:rPr>
      </w:r>
    </w:p>
    <w:p>
      <w:pPr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  <w:lang w:val="ru-RU"/>
        </w:rPr>
        <w:t xml:space="preserve">Заместитель главы </w:t>
      </w:r>
      <w:r>
        <w:rPr>
          <w:rFonts w:ascii="FreeSerif" w:hAnsi="FreeSerif" w:cs="FreeSerif"/>
          <w:sz w:val="28"/>
        </w:rPr>
      </w:r>
    </w:p>
    <w:p>
      <w:pPr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  <w:lang w:val="ru-RU"/>
        </w:rPr>
        <w:t xml:space="preserve">Ленинградского м</w:t>
      </w:r>
      <w:r>
        <w:rPr>
          <w:rFonts w:ascii="FreeSerif" w:hAnsi="FreeSerif" w:eastAsia="FreeSerif" w:cs="FreeSerif"/>
          <w:sz w:val="28"/>
          <w:lang w:val="ru-RU"/>
        </w:rPr>
        <w:t xml:space="preserve">униципального</w:t>
      </w:r>
      <w:r>
        <w:rPr>
          <w:rFonts w:ascii="FreeSerif" w:hAnsi="FreeSerif" w:eastAsia="FreeSerif" w:cs="FreeSerif"/>
          <w:sz w:val="28"/>
          <w:lang w:val="ru-RU"/>
        </w:rPr>
        <w:t xml:space="preserve"> округа</w:t>
      </w:r>
      <w:r>
        <w:rPr>
          <w:rFonts w:ascii="FreeSerif" w:hAnsi="FreeSerif" w:eastAsia="FreeSerif" w:cs="FreeSerif"/>
          <w:sz w:val="28"/>
          <w:lang w:val="ru-RU"/>
        </w:rPr>
        <w:t xml:space="preserve">,</w:t>
      </w:r>
      <w:r>
        <w:rPr>
          <w:rFonts w:ascii="FreeSerif" w:hAnsi="FreeSerif" w:cs="FreeSerif"/>
          <w:sz w:val="28"/>
        </w:rPr>
      </w:r>
    </w:p>
    <w:p>
      <w:pPr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  <w:lang w:val="ru-RU"/>
        </w:rPr>
        <w:t xml:space="preserve">начальник отдела имущественных </w:t>
      </w:r>
      <w:r>
        <w:rPr>
          <w:rFonts w:ascii="FreeSerif" w:hAnsi="FreeSerif" w:cs="FreeSerif"/>
          <w:sz w:val="28"/>
        </w:rPr>
      </w:r>
    </w:p>
    <w:p>
      <w:pPr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  <w:lang w:val="ru-RU"/>
        </w:rPr>
        <w:t xml:space="preserve">отношений </w:t>
      </w:r>
      <w:r>
        <w:rPr>
          <w:rFonts w:ascii="FreeSerif" w:hAnsi="FreeSerif" w:eastAsia="FreeSerif" w:cs="FreeSerif"/>
          <w:sz w:val="28"/>
          <w:lang w:val="ru-RU"/>
        </w:rPr>
        <w:t xml:space="preserve">администрации </w:t>
      </w:r>
      <w:r>
        <w:rPr>
          <w:rFonts w:ascii="FreeSerif" w:hAnsi="FreeSerif" w:eastAsia="FreeSerif" w:cs="FreeSerif"/>
          <w:sz w:val="28"/>
          <w:lang w:val="ru-RU"/>
        </w:rPr>
        <w:t xml:space="preserve">                                                                                                                        </w:t>
      </w:r>
      <w:r>
        <w:rPr>
          <w:rFonts w:ascii="FreeSerif" w:hAnsi="FreeSerif" w:eastAsia="FreeSerif" w:cs="FreeSerif"/>
          <w:sz w:val="28"/>
          <w:lang w:val="ru-RU"/>
        </w:rPr>
        <w:t xml:space="preserve">         </w:t>
      </w:r>
      <w:bookmarkStart w:id="1" w:name="_GoBack"/>
      <w:r>
        <w:rPr>
          <w:rFonts w:ascii="FreeSerif" w:hAnsi="FreeSerif" w:eastAsia="FreeSerif" w:cs="FreeSerif"/>
        </w:rPr>
      </w:r>
      <w:bookmarkEnd w:id="1"/>
      <w:r>
        <w:rPr>
          <w:rFonts w:ascii="FreeSerif" w:hAnsi="FreeSerif" w:eastAsia="FreeSerif" w:cs="FreeSerif"/>
          <w:sz w:val="28"/>
          <w:lang w:val="ru-RU"/>
        </w:rPr>
        <w:t xml:space="preserve">           Р.Г. Тоцкая</w:t>
      </w:r>
      <w:r>
        <w:rPr>
          <w:rFonts w:ascii="FreeSerif" w:hAnsi="FreeSerif" w:cs="FreeSerif"/>
          <w:sz w:val="28"/>
        </w:rPr>
      </w:r>
    </w:p>
    <w:sectPr>
      <w:footnotePr/>
      <w:endnotePr/>
      <w:type w:val="nextPage"/>
      <w:pgSz w:w="16838" w:h="11906" w:orient="landscape"/>
      <w:pgMar w:top="992" w:right="1134" w:bottom="624" w:left="1134" w:header="709" w:footer="709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6040504020204"/>
  </w:font>
  <w:font w:name="Verdana">
    <w:panose1 w:val="020B0606030504020204"/>
  </w:font>
  <w:font w:name="XO Thames">
    <w:panose1 w:val="02000603000000000000"/>
  </w:font>
  <w:font w:name="FreeSerif">
    <w:panose1 w:val="02020603050405020304"/>
  </w:font>
  <w:font w:name="Liberation Sans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000000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">
    <w:name w:val="Heading 1 Char"/>
    <w:basedOn w:val="635"/>
    <w:link w:val="643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17">
    <w:name w:val="Heading 2 Char"/>
    <w:basedOn w:val="635"/>
    <w:link w:val="669"/>
    <w:uiPriority w:val="9"/>
    <w:rPr>
      <w:rFonts w:ascii="Liberation Sans" w:hAnsi="Liberation Sans" w:eastAsia="Liberation Sans" w:cs="Liberation Sans"/>
      <w:sz w:val="34"/>
    </w:rPr>
  </w:style>
  <w:style w:type="character" w:styleId="19">
    <w:name w:val="Heading 3 Char"/>
    <w:basedOn w:val="635"/>
    <w:link w:val="631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21">
    <w:name w:val="Heading 4 Char"/>
    <w:basedOn w:val="635"/>
    <w:link w:val="667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3">
    <w:name w:val="Heading 5 Char"/>
    <w:basedOn w:val="635"/>
    <w:link w:val="641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19"/>
    <w:next w:val="619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35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19"/>
    <w:next w:val="619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35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19"/>
    <w:next w:val="619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35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19"/>
    <w:next w:val="619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35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19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character" w:styleId="36">
    <w:name w:val="Title Char"/>
    <w:basedOn w:val="635"/>
    <w:link w:val="665"/>
    <w:uiPriority w:val="10"/>
    <w:rPr>
      <w:sz w:val="48"/>
      <w:szCs w:val="48"/>
    </w:rPr>
  </w:style>
  <w:style w:type="character" w:styleId="38">
    <w:name w:val="Subtitle Char"/>
    <w:basedOn w:val="635"/>
    <w:link w:val="661"/>
    <w:uiPriority w:val="11"/>
    <w:rPr>
      <w:sz w:val="24"/>
      <w:szCs w:val="24"/>
    </w:rPr>
  </w:style>
  <w:style w:type="paragraph" w:styleId="39">
    <w:name w:val="Quote"/>
    <w:basedOn w:val="619"/>
    <w:next w:val="619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19"/>
    <w:next w:val="619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19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635"/>
    <w:link w:val="43"/>
    <w:uiPriority w:val="99"/>
  </w:style>
  <w:style w:type="paragraph" w:styleId="45">
    <w:name w:val="Footer"/>
    <w:basedOn w:val="619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635"/>
    <w:link w:val="45"/>
    <w:uiPriority w:val="99"/>
  </w:style>
  <w:style w:type="paragraph" w:styleId="47">
    <w:name w:val="Caption"/>
    <w:basedOn w:val="619"/>
    <w:next w:val="619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35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7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7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7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7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6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6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6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6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6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6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6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6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6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6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6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6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6">
    <w:name w:val="footnote text"/>
    <w:basedOn w:val="619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35"/>
    <w:uiPriority w:val="99"/>
    <w:unhideWhenUsed/>
    <w:rPr>
      <w:vertAlign w:val="superscript"/>
    </w:rPr>
  </w:style>
  <w:style w:type="paragraph" w:styleId="179">
    <w:name w:val="endnote text"/>
    <w:basedOn w:val="619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35"/>
    <w:uiPriority w:val="99"/>
    <w:semiHidden/>
    <w:unhideWhenUsed/>
    <w:rPr>
      <w:vertAlign w:val="superscript"/>
    </w:rPr>
  </w:style>
  <w:style w:type="paragraph" w:styleId="191">
    <w:name w:val="TOC Heading"/>
    <w:uiPriority w:val="39"/>
    <w:unhideWhenUsed/>
  </w:style>
  <w:style w:type="paragraph" w:styleId="192">
    <w:name w:val="table of figures"/>
    <w:basedOn w:val="619"/>
    <w:next w:val="619"/>
    <w:uiPriority w:val="99"/>
    <w:unhideWhenUsed/>
    <w:pPr>
      <w:spacing w:after="0" w:afterAutospacing="0"/>
    </w:pPr>
  </w:style>
  <w:style w:type="paragraph" w:styleId="618" w:default="1">
    <w:name w:val="Normal"/>
    <w:link w:val="619"/>
    <w:uiPriority w:val="0"/>
    <w:qFormat/>
    <w:rPr>
      <w:sz w:val="24"/>
    </w:rPr>
  </w:style>
  <w:style w:type="character" w:styleId="619" w:default="1">
    <w:name w:val="Normal"/>
    <w:link w:val="618"/>
    <w:rPr>
      <w:sz w:val="24"/>
    </w:rPr>
  </w:style>
  <w:style w:type="paragraph" w:styleId="620">
    <w:name w:val="toc 2"/>
    <w:next w:val="618"/>
    <w:link w:val="621"/>
    <w:uiPriority w:val="39"/>
    <w:pPr>
      <w:ind w:left="200" w:firstLine="0"/>
      <w:jc w:val="left"/>
      <w:widowControl/>
    </w:pPr>
    <w:rPr>
      <w:rFonts w:ascii="XO Thames" w:hAnsi="XO Thames"/>
      <w:sz w:val="28"/>
    </w:rPr>
  </w:style>
  <w:style w:type="character" w:styleId="621">
    <w:name w:val="toc 2"/>
    <w:link w:val="620"/>
    <w:rPr>
      <w:rFonts w:ascii="XO Thames" w:hAnsi="XO Thames"/>
      <w:sz w:val="28"/>
    </w:rPr>
  </w:style>
  <w:style w:type="paragraph" w:styleId="622">
    <w:name w:val="toc 4"/>
    <w:next w:val="618"/>
    <w:link w:val="623"/>
    <w:uiPriority w:val="39"/>
    <w:pPr>
      <w:ind w:left="600" w:firstLine="0"/>
      <w:jc w:val="left"/>
      <w:widowControl/>
    </w:pPr>
    <w:rPr>
      <w:rFonts w:ascii="XO Thames" w:hAnsi="XO Thames"/>
      <w:sz w:val="28"/>
    </w:rPr>
  </w:style>
  <w:style w:type="character" w:styleId="623">
    <w:name w:val="toc 4"/>
    <w:link w:val="622"/>
    <w:rPr>
      <w:rFonts w:ascii="XO Thames" w:hAnsi="XO Thames"/>
      <w:sz w:val="28"/>
    </w:rPr>
  </w:style>
  <w:style w:type="paragraph" w:styleId="624">
    <w:name w:val="toc 6"/>
    <w:next w:val="618"/>
    <w:link w:val="625"/>
    <w:uiPriority w:val="39"/>
    <w:pPr>
      <w:ind w:left="1000" w:firstLine="0"/>
      <w:jc w:val="left"/>
      <w:widowControl/>
    </w:pPr>
    <w:rPr>
      <w:rFonts w:ascii="XO Thames" w:hAnsi="XO Thames"/>
      <w:sz w:val="28"/>
    </w:rPr>
  </w:style>
  <w:style w:type="character" w:styleId="625">
    <w:name w:val="toc 6"/>
    <w:link w:val="624"/>
    <w:rPr>
      <w:rFonts w:ascii="XO Thames" w:hAnsi="XO Thames"/>
      <w:sz w:val="28"/>
    </w:rPr>
  </w:style>
  <w:style w:type="paragraph" w:styleId="626">
    <w:name w:val="toc 7"/>
    <w:next w:val="618"/>
    <w:link w:val="627"/>
    <w:uiPriority w:val="39"/>
    <w:pPr>
      <w:ind w:left="1200" w:firstLine="0"/>
      <w:jc w:val="left"/>
      <w:widowControl/>
    </w:pPr>
    <w:rPr>
      <w:rFonts w:ascii="XO Thames" w:hAnsi="XO Thames"/>
      <w:sz w:val="28"/>
    </w:rPr>
  </w:style>
  <w:style w:type="character" w:styleId="627">
    <w:name w:val="toc 7"/>
    <w:link w:val="626"/>
    <w:rPr>
      <w:rFonts w:ascii="XO Thames" w:hAnsi="XO Thames"/>
      <w:sz w:val="28"/>
    </w:rPr>
  </w:style>
  <w:style w:type="paragraph" w:styleId="628">
    <w:name w:val="Endnote"/>
    <w:link w:val="629"/>
    <w:pPr>
      <w:ind w:left="0" w:firstLine="851"/>
      <w:jc w:val="both"/>
      <w:widowControl/>
    </w:pPr>
    <w:rPr>
      <w:rFonts w:ascii="XO Thames" w:hAnsi="XO Thames"/>
      <w:sz w:val="22"/>
    </w:rPr>
  </w:style>
  <w:style w:type="character" w:styleId="629">
    <w:name w:val="Endnote"/>
    <w:link w:val="628"/>
    <w:rPr>
      <w:rFonts w:ascii="XO Thames" w:hAnsi="XO Thames"/>
      <w:sz w:val="22"/>
    </w:rPr>
  </w:style>
  <w:style w:type="paragraph" w:styleId="630">
    <w:name w:val="Heading 3"/>
    <w:next w:val="618"/>
    <w:link w:val="631"/>
    <w:uiPriority w:val="9"/>
    <w:qFormat/>
    <w:pPr>
      <w:jc w:val="both"/>
      <w:spacing w:before="120" w:after="120"/>
      <w:widowControl/>
      <w:outlineLvl w:val="2"/>
    </w:pPr>
    <w:rPr>
      <w:rFonts w:ascii="XO Thames" w:hAnsi="XO Thames"/>
      <w:b/>
      <w:sz w:val="26"/>
    </w:rPr>
  </w:style>
  <w:style w:type="character" w:styleId="631">
    <w:name w:val="Heading 3"/>
    <w:link w:val="630"/>
    <w:rPr>
      <w:rFonts w:ascii="XO Thames" w:hAnsi="XO Thames"/>
      <w:b/>
      <w:sz w:val="26"/>
    </w:rPr>
  </w:style>
  <w:style w:type="paragraph" w:styleId="632">
    <w:name w:val="Знак"/>
    <w:basedOn w:val="618"/>
    <w:link w:val="633"/>
    <w:pPr>
      <w:spacing w:after="160" w:line="240" w:lineRule="exact"/>
      <w:widowControl/>
    </w:pPr>
    <w:rPr>
      <w:rFonts w:ascii="Verdana" w:hAnsi="Verdana"/>
      <w:sz w:val="20"/>
    </w:rPr>
  </w:style>
  <w:style w:type="character" w:styleId="633">
    <w:name w:val="Знак"/>
    <w:basedOn w:val="619"/>
    <w:link w:val="632"/>
    <w:rPr>
      <w:rFonts w:ascii="Verdana" w:hAnsi="Verdana"/>
      <w:sz w:val="20"/>
    </w:rPr>
  </w:style>
  <w:style w:type="paragraph" w:styleId="634">
    <w:name w:val="Default Paragraph Font"/>
    <w:link w:val="635"/>
  </w:style>
  <w:style w:type="character" w:styleId="635">
    <w:name w:val="Default Paragraph Font"/>
    <w:link w:val="634"/>
  </w:style>
  <w:style w:type="paragraph" w:styleId="636">
    <w:name w:val="toc 3"/>
    <w:next w:val="618"/>
    <w:link w:val="637"/>
    <w:uiPriority w:val="39"/>
    <w:pPr>
      <w:ind w:left="400" w:firstLine="0"/>
      <w:jc w:val="left"/>
      <w:widowControl/>
    </w:pPr>
    <w:rPr>
      <w:rFonts w:ascii="XO Thames" w:hAnsi="XO Thames"/>
      <w:sz w:val="28"/>
    </w:rPr>
  </w:style>
  <w:style w:type="character" w:styleId="637">
    <w:name w:val="toc 3"/>
    <w:link w:val="636"/>
    <w:rPr>
      <w:rFonts w:ascii="XO Thames" w:hAnsi="XO Thames"/>
      <w:sz w:val="28"/>
    </w:rPr>
  </w:style>
  <w:style w:type="paragraph" w:styleId="638">
    <w:name w:val="Знак"/>
    <w:basedOn w:val="618"/>
    <w:link w:val="639"/>
    <w:pPr>
      <w:spacing w:after="160" w:line="240" w:lineRule="exact"/>
      <w:widowControl/>
    </w:pPr>
    <w:rPr>
      <w:rFonts w:ascii="Verdana" w:hAnsi="Verdana"/>
      <w:sz w:val="20"/>
    </w:rPr>
  </w:style>
  <w:style w:type="character" w:styleId="639">
    <w:name w:val="Знак"/>
    <w:basedOn w:val="619"/>
    <w:link w:val="638"/>
    <w:rPr>
      <w:rFonts w:ascii="Verdana" w:hAnsi="Verdana"/>
      <w:sz w:val="20"/>
    </w:rPr>
  </w:style>
  <w:style w:type="paragraph" w:styleId="640">
    <w:name w:val="Heading 5"/>
    <w:next w:val="618"/>
    <w:link w:val="641"/>
    <w:uiPriority w:val="9"/>
    <w:qFormat/>
    <w:pPr>
      <w:jc w:val="both"/>
      <w:spacing w:before="120" w:after="120"/>
      <w:widowControl/>
      <w:outlineLvl w:val="4"/>
    </w:pPr>
    <w:rPr>
      <w:rFonts w:ascii="XO Thames" w:hAnsi="XO Thames"/>
      <w:b/>
      <w:sz w:val="22"/>
    </w:rPr>
  </w:style>
  <w:style w:type="character" w:styleId="641">
    <w:name w:val="Heading 5"/>
    <w:link w:val="640"/>
    <w:rPr>
      <w:rFonts w:ascii="XO Thames" w:hAnsi="XO Thames"/>
      <w:b/>
      <w:sz w:val="22"/>
    </w:rPr>
  </w:style>
  <w:style w:type="paragraph" w:styleId="642">
    <w:name w:val="Heading 1"/>
    <w:basedOn w:val="618"/>
    <w:next w:val="618"/>
    <w:link w:val="643"/>
    <w:uiPriority w:val="9"/>
    <w:qFormat/>
    <w:pPr>
      <w:ind w:left="6993"/>
      <w:jc w:val="center"/>
      <w:keepNext/>
      <w:widowControl/>
      <w:outlineLvl w:val="0"/>
    </w:pPr>
    <w:rPr>
      <w:sz w:val="28"/>
    </w:rPr>
  </w:style>
  <w:style w:type="character" w:styleId="643">
    <w:name w:val="Heading 1"/>
    <w:basedOn w:val="619"/>
    <w:link w:val="642"/>
    <w:rPr>
      <w:sz w:val="28"/>
    </w:rPr>
  </w:style>
  <w:style w:type="paragraph" w:styleId="644">
    <w:name w:val="Hyperlink"/>
    <w:link w:val="645"/>
    <w:rPr>
      <w:color w:val="0000ff"/>
      <w:u w:val="single"/>
    </w:rPr>
  </w:style>
  <w:style w:type="character" w:styleId="645">
    <w:name w:val="Hyperlink"/>
    <w:link w:val="644"/>
    <w:rPr>
      <w:color w:val="0000ff"/>
      <w:u w:val="single"/>
    </w:rPr>
  </w:style>
  <w:style w:type="paragraph" w:styleId="646">
    <w:name w:val="Footnote"/>
    <w:link w:val="647"/>
    <w:pPr>
      <w:ind w:left="0" w:firstLine="851"/>
      <w:jc w:val="both"/>
      <w:widowControl/>
    </w:pPr>
    <w:rPr>
      <w:rFonts w:ascii="XO Thames" w:hAnsi="XO Thames"/>
      <w:sz w:val="22"/>
    </w:rPr>
  </w:style>
  <w:style w:type="character" w:styleId="647">
    <w:name w:val="Footnote"/>
    <w:link w:val="646"/>
    <w:rPr>
      <w:rFonts w:ascii="XO Thames" w:hAnsi="XO Thames"/>
      <w:sz w:val="22"/>
    </w:rPr>
  </w:style>
  <w:style w:type="paragraph" w:styleId="648">
    <w:name w:val="toc 1"/>
    <w:next w:val="618"/>
    <w:link w:val="649"/>
    <w:uiPriority w:val="39"/>
    <w:pPr>
      <w:ind w:left="0" w:firstLine="0"/>
      <w:jc w:val="left"/>
      <w:widowControl/>
    </w:pPr>
    <w:rPr>
      <w:rFonts w:ascii="XO Thames" w:hAnsi="XO Thames"/>
      <w:b/>
      <w:sz w:val="28"/>
    </w:rPr>
  </w:style>
  <w:style w:type="character" w:styleId="649">
    <w:name w:val="toc 1"/>
    <w:link w:val="648"/>
    <w:rPr>
      <w:rFonts w:ascii="XO Thames" w:hAnsi="XO Thames"/>
      <w:b/>
      <w:sz w:val="28"/>
    </w:rPr>
  </w:style>
  <w:style w:type="paragraph" w:styleId="650">
    <w:name w:val="Header and Footer"/>
    <w:link w:val="651"/>
    <w:pPr>
      <w:jc w:val="both"/>
      <w:spacing w:line="240" w:lineRule="auto"/>
      <w:widowControl/>
    </w:pPr>
    <w:rPr>
      <w:rFonts w:ascii="XO Thames" w:hAnsi="XO Thames"/>
      <w:sz w:val="28"/>
    </w:rPr>
  </w:style>
  <w:style w:type="character" w:styleId="651">
    <w:name w:val="Header and Footer"/>
    <w:link w:val="650"/>
    <w:rPr>
      <w:rFonts w:ascii="XO Thames" w:hAnsi="XO Thames"/>
      <w:sz w:val="28"/>
    </w:rPr>
  </w:style>
  <w:style w:type="paragraph" w:styleId="652">
    <w:name w:val="toc 9"/>
    <w:next w:val="618"/>
    <w:link w:val="653"/>
    <w:uiPriority w:val="39"/>
    <w:pPr>
      <w:ind w:left="1600" w:firstLine="0"/>
      <w:jc w:val="left"/>
      <w:widowControl/>
    </w:pPr>
    <w:rPr>
      <w:rFonts w:ascii="XO Thames" w:hAnsi="XO Thames"/>
      <w:sz w:val="28"/>
    </w:rPr>
  </w:style>
  <w:style w:type="character" w:styleId="653">
    <w:name w:val="toc 9"/>
    <w:link w:val="652"/>
    <w:rPr>
      <w:rFonts w:ascii="XO Thames" w:hAnsi="XO Thames"/>
      <w:sz w:val="28"/>
    </w:rPr>
  </w:style>
  <w:style w:type="paragraph" w:styleId="654">
    <w:name w:val="toc 8"/>
    <w:next w:val="618"/>
    <w:link w:val="655"/>
    <w:uiPriority w:val="39"/>
    <w:pPr>
      <w:ind w:left="1400" w:firstLine="0"/>
      <w:jc w:val="left"/>
      <w:widowControl/>
    </w:pPr>
    <w:rPr>
      <w:rFonts w:ascii="XO Thames" w:hAnsi="XO Thames"/>
      <w:sz w:val="28"/>
    </w:rPr>
  </w:style>
  <w:style w:type="character" w:styleId="655">
    <w:name w:val="toc 8"/>
    <w:link w:val="654"/>
    <w:rPr>
      <w:rFonts w:ascii="XO Thames" w:hAnsi="XO Thames"/>
      <w:sz w:val="28"/>
    </w:rPr>
  </w:style>
  <w:style w:type="paragraph" w:styleId="656">
    <w:name w:val="Знак"/>
    <w:basedOn w:val="618"/>
    <w:link w:val="657"/>
    <w:pPr>
      <w:spacing w:after="160" w:line="240" w:lineRule="exact"/>
      <w:widowControl/>
    </w:pPr>
    <w:rPr>
      <w:rFonts w:ascii="Verdana" w:hAnsi="Verdana"/>
      <w:sz w:val="20"/>
    </w:rPr>
  </w:style>
  <w:style w:type="character" w:styleId="657">
    <w:name w:val="Знак"/>
    <w:basedOn w:val="619"/>
    <w:link w:val="656"/>
    <w:rPr>
      <w:rFonts w:ascii="Verdana" w:hAnsi="Verdana"/>
      <w:sz w:val="20"/>
    </w:rPr>
  </w:style>
  <w:style w:type="paragraph" w:styleId="658">
    <w:name w:val="toc 5"/>
    <w:next w:val="618"/>
    <w:link w:val="659"/>
    <w:uiPriority w:val="39"/>
    <w:pPr>
      <w:ind w:left="800" w:firstLine="0"/>
      <w:jc w:val="left"/>
      <w:widowControl/>
    </w:pPr>
    <w:rPr>
      <w:rFonts w:ascii="XO Thames" w:hAnsi="XO Thames"/>
      <w:sz w:val="28"/>
    </w:rPr>
  </w:style>
  <w:style w:type="character" w:styleId="659">
    <w:name w:val="toc 5"/>
    <w:link w:val="658"/>
    <w:rPr>
      <w:rFonts w:ascii="XO Thames" w:hAnsi="XO Thames"/>
      <w:sz w:val="28"/>
    </w:rPr>
  </w:style>
  <w:style w:type="paragraph" w:styleId="660">
    <w:name w:val="Subtitle"/>
    <w:next w:val="618"/>
    <w:link w:val="661"/>
    <w:uiPriority w:val="11"/>
    <w:qFormat/>
    <w:pPr>
      <w:jc w:val="both"/>
      <w:widowControl/>
    </w:pPr>
    <w:rPr>
      <w:rFonts w:ascii="XO Thames" w:hAnsi="XO Thames"/>
      <w:i/>
      <w:sz w:val="24"/>
    </w:rPr>
  </w:style>
  <w:style w:type="character" w:styleId="661">
    <w:name w:val="Subtitle"/>
    <w:link w:val="660"/>
    <w:rPr>
      <w:rFonts w:ascii="XO Thames" w:hAnsi="XO Thames"/>
      <w:i/>
      <w:sz w:val="24"/>
    </w:rPr>
  </w:style>
  <w:style w:type="paragraph" w:styleId="662">
    <w:name w:val="Balloon Text"/>
    <w:basedOn w:val="618"/>
    <w:link w:val="663"/>
    <w:rPr>
      <w:rFonts w:ascii="Tahoma" w:hAnsi="Tahoma"/>
      <w:sz w:val="16"/>
    </w:rPr>
  </w:style>
  <w:style w:type="character" w:styleId="663">
    <w:name w:val="Balloon Text"/>
    <w:basedOn w:val="619"/>
    <w:link w:val="662"/>
    <w:rPr>
      <w:rFonts w:ascii="Tahoma" w:hAnsi="Tahoma"/>
      <w:sz w:val="16"/>
    </w:rPr>
  </w:style>
  <w:style w:type="paragraph" w:styleId="664">
    <w:name w:val="Title"/>
    <w:next w:val="618"/>
    <w:link w:val="665"/>
    <w:uiPriority w:val="10"/>
    <w:qFormat/>
    <w:pPr>
      <w:jc w:val="center"/>
      <w:spacing w:before="567" w:after="567"/>
      <w:widowControl/>
    </w:pPr>
    <w:rPr>
      <w:rFonts w:ascii="XO Thames" w:hAnsi="XO Thames"/>
      <w:b/>
      <w:caps/>
      <w:sz w:val="40"/>
    </w:rPr>
  </w:style>
  <w:style w:type="character" w:styleId="665">
    <w:name w:val="Title"/>
    <w:link w:val="664"/>
    <w:rPr>
      <w:rFonts w:ascii="XO Thames" w:hAnsi="XO Thames"/>
      <w:b/>
      <w:caps/>
      <w:sz w:val="40"/>
    </w:rPr>
  </w:style>
  <w:style w:type="paragraph" w:styleId="666">
    <w:name w:val="Heading 4"/>
    <w:next w:val="618"/>
    <w:link w:val="667"/>
    <w:uiPriority w:val="9"/>
    <w:qFormat/>
    <w:pPr>
      <w:jc w:val="both"/>
      <w:spacing w:before="120" w:after="120"/>
      <w:widowControl/>
      <w:outlineLvl w:val="3"/>
    </w:pPr>
    <w:rPr>
      <w:rFonts w:ascii="XO Thames" w:hAnsi="XO Thames"/>
      <w:b/>
      <w:sz w:val="24"/>
    </w:rPr>
  </w:style>
  <w:style w:type="character" w:styleId="667">
    <w:name w:val="Heading 4"/>
    <w:link w:val="666"/>
    <w:rPr>
      <w:rFonts w:ascii="XO Thames" w:hAnsi="XO Thames"/>
      <w:b/>
      <w:sz w:val="24"/>
    </w:rPr>
  </w:style>
  <w:style w:type="paragraph" w:styleId="668">
    <w:name w:val="Heading 2"/>
    <w:next w:val="618"/>
    <w:link w:val="669"/>
    <w:uiPriority w:val="9"/>
    <w:qFormat/>
    <w:pPr>
      <w:jc w:val="both"/>
      <w:spacing w:before="120" w:after="120"/>
      <w:widowControl/>
      <w:outlineLvl w:val="1"/>
    </w:pPr>
    <w:rPr>
      <w:rFonts w:ascii="XO Thames" w:hAnsi="XO Thames"/>
      <w:b/>
      <w:sz w:val="28"/>
    </w:rPr>
  </w:style>
  <w:style w:type="character" w:styleId="669">
    <w:name w:val="Heading 2"/>
    <w:link w:val="668"/>
    <w:rPr>
      <w:rFonts w:ascii="XO Thames" w:hAnsi="XO Thames"/>
      <w:b/>
      <w:sz w:val="28"/>
    </w:rPr>
  </w:style>
  <w:style w:type="table" w:styleId="670" w:default="1">
    <w:name w:val="Normal Table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255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shostenko</cp:lastModifiedBy>
  <cp:revision>1</cp:revision>
  <dcterms:created xsi:type="dcterms:W3CDTF">2022-03-01T09:58:00Z</dcterms:created>
  <dcterms:modified xsi:type="dcterms:W3CDTF">2026-09-01T10:38:07Z</dcterms:modified>
</cp:coreProperties>
</file>