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5F4" w:rsidRPr="00EC05F4" w:rsidRDefault="00EC05F4" w:rsidP="00EC05F4">
      <w:pPr>
        <w:tabs>
          <w:tab w:val="left" w:pos="2340"/>
        </w:tabs>
        <w:spacing w:after="0" w:line="240" w:lineRule="auto"/>
        <w:ind w:left="4956"/>
        <w:outlineLvl w:val="0"/>
        <w:rPr>
          <w:rFonts w:ascii="Arial" w:eastAsia="Times New Roman" w:hAnsi="Arial" w:cs="Times New Roman"/>
          <w:b/>
          <w:bCs/>
          <w:color w:val="26282F"/>
          <w:sz w:val="24"/>
          <w:szCs w:val="24"/>
        </w:rPr>
      </w:pPr>
      <w:r w:rsidRPr="00EC05F4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Приложение 1</w:t>
      </w:r>
    </w:p>
    <w:p w:rsidR="00EC05F4" w:rsidRPr="00EC05F4" w:rsidRDefault="00EC05F4" w:rsidP="00EC05F4">
      <w:pPr>
        <w:spacing w:after="0" w:line="240" w:lineRule="auto"/>
        <w:ind w:left="4956"/>
        <w:outlineLvl w:val="0"/>
        <w:rPr>
          <w:rFonts w:ascii="Arial" w:eastAsia="Times New Roman" w:hAnsi="Arial" w:cs="Times New Roman"/>
          <w:b/>
          <w:bCs/>
          <w:color w:val="26282F"/>
          <w:sz w:val="24"/>
          <w:szCs w:val="24"/>
        </w:rPr>
      </w:pPr>
      <w:r w:rsidRPr="00EC05F4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к постановлению администрации </w:t>
      </w:r>
    </w:p>
    <w:p w:rsidR="00EC05F4" w:rsidRPr="00EC05F4" w:rsidRDefault="00EC05F4" w:rsidP="00EC05F4">
      <w:pPr>
        <w:spacing w:after="0" w:line="240" w:lineRule="auto"/>
        <w:ind w:left="4956"/>
        <w:outlineLvl w:val="0"/>
        <w:rPr>
          <w:rFonts w:ascii="Arial" w:eastAsia="Times New Roman" w:hAnsi="Arial" w:cs="Times New Roman"/>
          <w:b/>
          <w:bCs/>
          <w:color w:val="26282F"/>
          <w:sz w:val="24"/>
          <w:szCs w:val="24"/>
        </w:rPr>
      </w:pPr>
      <w:r w:rsidRPr="00EC05F4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муниципального образования </w:t>
      </w:r>
    </w:p>
    <w:p w:rsidR="00EC05F4" w:rsidRPr="00EC05F4" w:rsidRDefault="00EC05F4" w:rsidP="00EC05F4">
      <w:pPr>
        <w:spacing w:after="0" w:line="240" w:lineRule="auto"/>
        <w:ind w:left="4956"/>
        <w:outlineLvl w:val="0"/>
        <w:rPr>
          <w:rFonts w:ascii="Arial" w:eastAsia="Times New Roman" w:hAnsi="Arial" w:cs="Times New Roman"/>
          <w:b/>
          <w:bCs/>
          <w:color w:val="26282F"/>
          <w:sz w:val="24"/>
          <w:szCs w:val="24"/>
        </w:rPr>
      </w:pPr>
      <w:r w:rsidRPr="00EC05F4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Ленинградский район </w:t>
      </w:r>
    </w:p>
    <w:p w:rsidR="00EC05F4" w:rsidRPr="00EC05F4" w:rsidRDefault="00EC05F4" w:rsidP="00EC05F4">
      <w:pPr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EC05F4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от _______________ №_______</w:t>
      </w:r>
    </w:p>
    <w:p w:rsidR="00EC05F4" w:rsidRPr="00EC05F4" w:rsidRDefault="00EC05F4" w:rsidP="00EC05F4">
      <w:pPr>
        <w:suppressAutoHyphens/>
        <w:spacing w:after="160" w:line="252" w:lineRule="auto"/>
        <w:ind w:left="4956"/>
        <w:rPr>
          <w:rFonts w:ascii="Calibri" w:eastAsia="Times New Roman" w:hAnsi="Calibri"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5"/>
        <w:gridCol w:w="4896"/>
      </w:tblGrid>
      <w:tr w:rsidR="00EC05F4" w:rsidRPr="00EC05F4" w:rsidTr="00625E65">
        <w:tc>
          <w:tcPr>
            <w:tcW w:w="4895" w:type="dxa"/>
          </w:tcPr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96" w:type="dxa"/>
          </w:tcPr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«Приложение</w:t>
            </w:r>
          </w:p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постановлению администрации</w:t>
            </w:r>
          </w:p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Ленинградский район</w:t>
            </w:r>
          </w:p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от 16.10.2020  № 909</w:t>
            </w:r>
          </w:p>
          <w:p w:rsidR="00EC05F4" w:rsidRPr="00EC05F4" w:rsidRDefault="00EC05F4" w:rsidP="00EC05F4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EC05F4" w:rsidRPr="00EC05F4" w:rsidTr="00625E65">
        <w:tc>
          <w:tcPr>
            <w:tcW w:w="4895" w:type="dxa"/>
          </w:tcPr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96" w:type="dxa"/>
          </w:tcPr>
          <w:p w:rsidR="00EC05F4" w:rsidRPr="00EC05F4" w:rsidRDefault="00EC05F4" w:rsidP="00EC05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  <w:t>ПАСПОРТ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  <w:t>муниципальной программы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  <w:t>муниципального образования Ленинградский район</w:t>
      </w:r>
      <w:r w:rsidRPr="00EC05F4"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  <w:br/>
        <w:t xml:space="preserve">«Развитие образования в муниципальном образовании 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  <w:t>Ленинградский район»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42"/>
        <w:gridCol w:w="236"/>
        <w:gridCol w:w="5662"/>
      </w:tblGrid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Координатор муниципальной программы</w:t>
            </w: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 xml:space="preserve">управление образования администрации муниципального образования Ленинградский район 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</w:tr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Участники муниципальной программы</w:t>
            </w: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 xml:space="preserve">управление образования администрации муниципального образования Ленинградский район 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общеобразовательные организации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</w:tr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 xml:space="preserve">Ведомственные целевые 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программы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не предусмотрены</w:t>
            </w:r>
          </w:p>
        </w:tc>
      </w:tr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Цель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муниципальной программы</w:t>
            </w: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обеспечение высокого качества образования в соответствии с  меняющимися запросами населения муниципального образования Ленинградский район и перспективными задачами развития общества и экономики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</w:tr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Задачи муниципальной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t xml:space="preserve">развитие сети и инфраструктуры образовательных организаций, обеспечивающих </w:t>
            </w: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детей;</w:t>
            </w:r>
          </w:p>
          <w:p w:rsidR="00EC05F4" w:rsidRPr="00EC05F4" w:rsidRDefault="00EC05F4" w:rsidP="00EC05F4">
            <w:pPr>
              <w:tabs>
                <w:tab w:val="left" w:pos="57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образования;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t>реализация мер  по популяризации среди детей и молодёжи научно-образовательной, творческой и спортивной деятельности, выявление талантливой молодёжи;</w:t>
            </w:r>
          </w:p>
          <w:p w:rsidR="00EC05F4" w:rsidRPr="00EC05F4" w:rsidRDefault="00EC05F4" w:rsidP="00EC05F4">
            <w:pPr>
              <w:tabs>
                <w:tab w:val="left" w:pos="57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t>реализация мер по социальной поддержке отдельных категорий обучающихся;</w:t>
            </w:r>
          </w:p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t>формирование востребованной системы оценки качества образования и образовательных результатов;</w:t>
            </w:r>
          </w:p>
          <w:p w:rsidR="00EC05F4" w:rsidRPr="00EC05F4" w:rsidRDefault="00EC05F4" w:rsidP="00EC05F4">
            <w:pPr>
              <w:tabs>
                <w:tab w:val="left" w:pos="57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t>обеспечение  отрасли образования высококвалифицированными кадрами;</w:t>
            </w:r>
          </w:p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t>создание механизмов мотивации педагогов к повышению качества работы и непрерывному профессиональному развитию.</w:t>
            </w:r>
          </w:p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</w:p>
        </w:tc>
      </w:tr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lastRenderedPageBreak/>
              <w:t xml:space="preserve">Перечень 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целевых показателей муниципальной программы</w:t>
            </w: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proofErr w:type="gramStart"/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численность обучающихся по программам общего образования в общеобразовательных организациях;</w:t>
            </w:r>
            <w:proofErr w:type="gramEnd"/>
          </w:p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t>доля детей, охваченных образовательными программами дополнительного образования детей в возрасте от 5 до 18 лет;</w:t>
            </w:r>
          </w:p>
          <w:p w:rsidR="00EC05F4" w:rsidRPr="00EC05F4" w:rsidRDefault="00EC05F4" w:rsidP="00EC05F4">
            <w:pPr>
              <w:widowControl w:val="0"/>
              <w:tabs>
                <w:tab w:val="left" w:pos="2128"/>
              </w:tabs>
              <w:autoSpaceDE w:val="0"/>
              <w:autoSpaceDN w:val="0"/>
              <w:spacing w:after="0" w:line="249" w:lineRule="auto"/>
              <w:ind w:right="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</w:t>
            </w:r>
            <w:r w:rsidRPr="00EC05F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детей,</w:t>
            </w:r>
            <w:r w:rsidRPr="00EC05F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</w:t>
            </w:r>
            <w:r w:rsidRPr="00EC05F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обеспечены</w:t>
            </w:r>
            <w:r w:rsidRPr="00EC05F4">
              <w:rPr>
                <w:rFonts w:ascii="Times New Roman" w:eastAsia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EC05F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сертификатами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персонифицированного</w:t>
            </w:r>
            <w:r w:rsidRPr="00EC05F4">
              <w:rPr>
                <w:rFonts w:ascii="Times New Roman" w:eastAsia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финансирования </w:t>
            </w:r>
            <w:r w:rsidRPr="00EC05F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дополнительного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образования;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организаций;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 образовательных организаций, участвующих в региональном этапе всероссийской олимпиады школьников;</w:t>
            </w:r>
          </w:p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1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отношение среднего балла единого государственного экзамена (далее - ЕГЭ) 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расчёте на 1 предмет) в 10% общеобразовательных организаций  с лучшими результатами ЕГЭ к среднему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баллу ЕГЭ (в расчёте на 1 предмет) в 10 общеобразовательных организациях с худшими результатами ЕГЭ;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педагогических работников дошкольных образовательных организаций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работников общеобразовательных организаций;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края;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среднемесячной  заработной платы педагогических работников общеобразовательных организаций  к среднемесячной заработной плате в Краснодарском крае;</w:t>
            </w:r>
          </w:p>
          <w:p w:rsidR="00EC05F4" w:rsidRPr="00EC05F4" w:rsidRDefault="00EC05F4" w:rsidP="00EC0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организаций дополнительного образования  детей к</w:t>
            </w:r>
            <w:r w:rsidRPr="00EC05F4">
              <w:rPr>
                <w:rFonts w:ascii="Calibri" w:eastAsia="Times New Roman" w:hAnsi="Calibri" w:cs="Calibri"/>
                <w:sz w:val="28"/>
                <w:szCs w:val="28"/>
                <w:lang w:eastAsia="zh-CN"/>
              </w:rPr>
              <w:t xml:space="preserve">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среднемесячной зарплате учителей в Краснодарском крае;</w:t>
            </w:r>
          </w:p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численность </w:t>
            </w:r>
            <w:proofErr w:type="gramStart"/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обучающихся</w:t>
            </w:r>
            <w:proofErr w:type="gramEnd"/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получающих социальную поддержку</w:t>
            </w:r>
            <w:r w:rsidRPr="00EC05F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zh-CN"/>
              </w:rPr>
              <w:t>.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</w:p>
        </w:tc>
      </w:tr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  <w:t>2021 - 2024 годы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</w:p>
        </w:tc>
      </w:tr>
      <w:tr w:rsidR="00EC05F4" w:rsidRPr="00EC05F4" w:rsidTr="00625E65">
        <w:tc>
          <w:tcPr>
            <w:tcW w:w="3742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«Объемы бюджетных ассигнований муниципальной программы, всего, в том числе по годам и источникам финансирования</w:t>
            </w:r>
          </w:p>
        </w:tc>
        <w:tc>
          <w:tcPr>
            <w:tcW w:w="236" w:type="dxa"/>
          </w:tcPr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  <w:tc>
          <w:tcPr>
            <w:tcW w:w="5662" w:type="dxa"/>
          </w:tcPr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объём финансового обеспечения программы за счёт всех источников составляет                  4 502 576,24 тысяч рублей,  в том числе: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из сре</w:t>
            </w:r>
            <w:proofErr w:type="gramStart"/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дств  кр</w:t>
            </w:r>
            <w:proofErr w:type="gramEnd"/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аевого бюджета  2 240 814,40 тысяч рублей, в том числе: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 год – 637 972,40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2022 год – 674 321,40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2023 год – </w:t>
            </w:r>
            <w:r w:rsidRPr="00EC0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619 556,70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2024 год – </w:t>
            </w:r>
            <w:r w:rsidRPr="00EC0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608 963,90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из средств муниципального бюджета                1 708 5999,34 тысяч рублей, в том числе: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 год – 309 388,27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2022 год – 516 295,79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2023 год – </w:t>
            </w:r>
            <w:r w:rsidRPr="00EC0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421 662,10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2024 год – </w:t>
            </w:r>
            <w:r w:rsidRPr="00EC0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461 253,18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из средств федерального бюджета 253 162,50 тысяч рублей, в том числе: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2021 год – 50 914,10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2022 год – </w:t>
            </w:r>
            <w:r w:rsidRPr="00EC0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52 224,80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2023 год – </w:t>
            </w:r>
            <w:r w:rsidRPr="00EC0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99 043,80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2024 год – </w:t>
            </w:r>
            <w:r w:rsidRPr="00EC0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50 979,80 </w:t>
            </w: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из внебюджетных средств 134,10 тысяч рублей, в том числе: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 год – 134,1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2022 год – 0,00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2023 год – 0,00 тысяч рублей</w:t>
            </w:r>
          </w:p>
          <w:p w:rsidR="00EC05F4" w:rsidRPr="00EC05F4" w:rsidRDefault="00EC05F4" w:rsidP="00EC05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2024 год – 0,00 тысяч рублей</w:t>
            </w:r>
          </w:p>
        </w:tc>
      </w:tr>
    </w:tbl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</w:pPr>
      <w:bookmarkStart w:id="0" w:name="sub_101"/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  <w:t>1.Характеристика текущего состояния и прогноз развития образования Ленинградского района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8"/>
          <w:szCs w:val="28"/>
          <w:lang w:eastAsia="zh-CN"/>
        </w:rPr>
      </w:pPr>
    </w:p>
    <w:bookmarkEnd w:id="0"/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Система образования муниципального образования Ленинградский район насчитывает 51 организацию дошкольного, общего и дополнительного образования. В образовательных организациях дошкольного и общего образования обучается и воспитывается 8704 детей, в организациях дополнительного образования (ДЮЦ, СЮТ, ДЮСШ, ЛУЦ) занимается 6176  человек.</w:t>
      </w:r>
      <w:r w:rsidRPr="00EC05F4">
        <w:rPr>
          <w:rFonts w:ascii="Calibri" w:eastAsia="Times New Roman" w:hAnsi="Calibri" w:cs="Calibri"/>
          <w:color w:val="000000"/>
          <w:sz w:val="28"/>
          <w:szCs w:val="28"/>
          <w:lang w:eastAsia="zh-CN"/>
        </w:rPr>
        <w:tab/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Действующая сеть образовательных организаций в основном удовлетворяет потребности населения муниципального образования.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 xml:space="preserve">Определяющее влияние на развитие дошкольного, общего и дополнительного образования оказывают демографические тенденции и миграционные процессы, в </w:t>
      </w:r>
      <w:proofErr w:type="gramStart"/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связи</w:t>
      </w:r>
      <w:proofErr w:type="gramEnd"/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 xml:space="preserve"> с чем наблюдается снижение воспитанников в детских садах с 2479 человек в 2020 году до 2169 человек в 2022 году.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Охват детей дошкольным образованием составляет 100%. Дети, не обеспеченные местом в детском саду, отсутствуют, имеются свободные места.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Достижение нового качества дошкольного образования детей предполагает повышение престижа педагогических работников дошкольных образовательных организаций. Наблюдается увеличение заработной платы педагогических работников дошкольных образовательных организаций, с 2020 года она увеличилась на 1403 рубля 5 копеек (таблица 1).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1418"/>
        <w:gridCol w:w="1559"/>
        <w:gridCol w:w="1348"/>
      </w:tblGrid>
      <w:tr w:rsidR="00EC05F4" w:rsidRPr="00EC05F4" w:rsidTr="00625E65">
        <w:tc>
          <w:tcPr>
            <w:tcW w:w="5240" w:type="dxa"/>
            <w:vMerge w:val="restart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Средний уровень заработной платы педагогических работников дошкольных образовательных организаций, руб.</w:t>
            </w:r>
          </w:p>
        </w:tc>
        <w:tc>
          <w:tcPr>
            <w:tcW w:w="1418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2021</w:t>
            </w:r>
          </w:p>
        </w:tc>
        <w:tc>
          <w:tcPr>
            <w:tcW w:w="1348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 xml:space="preserve">2022 </w:t>
            </w:r>
          </w:p>
        </w:tc>
      </w:tr>
      <w:tr w:rsidR="00EC05F4" w:rsidRPr="00EC05F4" w:rsidTr="00625E65">
        <w:tc>
          <w:tcPr>
            <w:tcW w:w="5240" w:type="dxa"/>
            <w:vMerge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30854,89</w:t>
            </w:r>
          </w:p>
        </w:tc>
        <w:tc>
          <w:tcPr>
            <w:tcW w:w="1559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32230,96</w:t>
            </w:r>
          </w:p>
        </w:tc>
        <w:tc>
          <w:tcPr>
            <w:tcW w:w="1348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32257,94</w:t>
            </w:r>
          </w:p>
        </w:tc>
      </w:tr>
    </w:tbl>
    <w:p w:rsidR="00EC05F4" w:rsidRPr="00EC05F4" w:rsidRDefault="00EC05F4" w:rsidP="00EC05F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0"/>
          <w:szCs w:val="20"/>
          <w:lang w:eastAsia="zh-CN"/>
        </w:rPr>
        <w:t xml:space="preserve">             </w:t>
      </w: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Уровень заработной платы педагогических работников дошкольных образовательных организаций составляет 104 % от уровня средней заработной платы в сфере общего образования.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proofErr w:type="gramStart"/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Количество обучающихся в общеобразовательных организациях с 2020 года составило: (таблица 2).</w:t>
      </w:r>
      <w:proofErr w:type="gramEnd"/>
    </w:p>
    <w:p w:rsidR="00EC05F4" w:rsidRPr="00EC05F4" w:rsidRDefault="00EC05F4" w:rsidP="00EC05F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Таблица 2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Calibri"/>
          <w:color w:val="000000"/>
          <w:sz w:val="20"/>
          <w:szCs w:val="20"/>
          <w:lang w:eastAsia="zh-CN"/>
        </w:rPr>
      </w:pPr>
    </w:p>
    <w:tbl>
      <w:tblPr>
        <w:tblW w:w="9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7"/>
        <w:gridCol w:w="1304"/>
        <w:gridCol w:w="1305"/>
        <w:gridCol w:w="1163"/>
      </w:tblGrid>
      <w:tr w:rsidR="00EC05F4" w:rsidRPr="00EC05F4" w:rsidTr="00625E65">
        <w:tc>
          <w:tcPr>
            <w:tcW w:w="5807" w:type="dxa"/>
            <w:vMerge w:val="restart"/>
          </w:tcPr>
          <w:p w:rsidR="00EC05F4" w:rsidRPr="00EC05F4" w:rsidRDefault="00EC05F4" w:rsidP="00EC05F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proofErr w:type="gramStart"/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Численность обучающихся в дневных общеобразовательных организациях</w:t>
            </w:r>
            <w:proofErr w:type="gramEnd"/>
          </w:p>
        </w:tc>
        <w:tc>
          <w:tcPr>
            <w:tcW w:w="130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2020</w:t>
            </w:r>
          </w:p>
        </w:tc>
        <w:tc>
          <w:tcPr>
            <w:tcW w:w="1305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2021</w:t>
            </w:r>
          </w:p>
        </w:tc>
        <w:tc>
          <w:tcPr>
            <w:tcW w:w="1163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2022</w:t>
            </w:r>
          </w:p>
        </w:tc>
      </w:tr>
      <w:tr w:rsidR="00EC05F4" w:rsidRPr="00EC05F4" w:rsidTr="00625E65">
        <w:tc>
          <w:tcPr>
            <w:tcW w:w="5807" w:type="dxa"/>
            <w:vMerge/>
          </w:tcPr>
          <w:p w:rsidR="00EC05F4" w:rsidRPr="00EC05F4" w:rsidRDefault="00EC05F4" w:rsidP="00EC05F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130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6383</w:t>
            </w:r>
          </w:p>
        </w:tc>
        <w:tc>
          <w:tcPr>
            <w:tcW w:w="1305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6476</w:t>
            </w:r>
          </w:p>
        </w:tc>
        <w:tc>
          <w:tcPr>
            <w:tcW w:w="1163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6535</w:t>
            </w:r>
          </w:p>
        </w:tc>
      </w:tr>
    </w:tbl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lastRenderedPageBreak/>
        <w:t>С 1 сентября 2022 года все общеобразовательные организации учатся в одну смену.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 xml:space="preserve">С 1 сентября 2022 года учащиеся 1-х , 5-х классов перешли на </w:t>
      </w:r>
      <w:proofErr w:type="gramStart"/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обучение по</w:t>
      </w:r>
      <w:proofErr w:type="gramEnd"/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 xml:space="preserve"> обновленным стандартам третьего поколения.</w:t>
      </w: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Для этого в общеобразовательных организациях созданы соответствующие условия: материально-технические, путём обновления учебников и учебно-методических пособий, кадровые - осуществление педагогическими работниками курсовой подготовки, финансовые, методические и психолого-педагогические.</w:t>
      </w:r>
    </w:p>
    <w:p w:rsidR="00EC05F4" w:rsidRPr="00EC05F4" w:rsidRDefault="00EC05F4" w:rsidP="00EC05F4">
      <w:pPr>
        <w:tabs>
          <w:tab w:val="left" w:pos="8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 xml:space="preserve">Наблюдается положительная динамика сдачи выпускниками единого государственного экзамена по русскому языку, результаты превышают </w:t>
      </w:r>
      <w:proofErr w:type="spell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среднекраевые</w:t>
      </w:r>
      <w:proofErr w:type="spell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и среднероссийские показатели, по математике результаты двух прошедших лет превышают </w:t>
      </w:r>
      <w:proofErr w:type="spell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среднекраевые</w:t>
      </w:r>
      <w:proofErr w:type="spell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и среднероссийские. В 2022 году результат ЕГЭ по математике в районе ниже показателя </w:t>
      </w:r>
      <w:proofErr w:type="spell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среднекраевого</w:t>
      </w:r>
      <w:proofErr w:type="spell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, но выше среднероссийского. Необходимо повышение профессионального мастерства учителей математики через курсовую подготовку, проведение методических мероприятий с выполнением педагогами практической части заданий ОГЭ и ЕГЭ (таблица 3).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Таблица 3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1304"/>
        <w:gridCol w:w="1276"/>
        <w:gridCol w:w="1276"/>
      </w:tblGrid>
      <w:tr w:rsidR="00EC05F4" w:rsidRPr="00EC05F4" w:rsidTr="00625E65">
        <w:tc>
          <w:tcPr>
            <w:tcW w:w="5665" w:type="dxa"/>
            <w:vMerge w:val="restart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Средний балл ЕГЭ по русскому языку выпускников общеобразовательных организаций</w:t>
            </w:r>
          </w:p>
        </w:tc>
        <w:tc>
          <w:tcPr>
            <w:tcW w:w="1304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2022</w:t>
            </w:r>
          </w:p>
        </w:tc>
      </w:tr>
      <w:tr w:rsidR="00EC05F4" w:rsidRPr="00EC05F4" w:rsidTr="00625E65">
        <w:tc>
          <w:tcPr>
            <w:tcW w:w="5665" w:type="dxa"/>
            <w:vMerge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  <w:t>74,2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  <w:t>76,4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  <w:t>71,5</w:t>
            </w:r>
          </w:p>
        </w:tc>
      </w:tr>
      <w:tr w:rsidR="00EC05F4" w:rsidRPr="00EC05F4" w:rsidTr="00625E65">
        <w:tc>
          <w:tcPr>
            <w:tcW w:w="5665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proofErr w:type="spellStart"/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Среднекраевой</w:t>
            </w:r>
            <w:proofErr w:type="spellEnd"/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 xml:space="preserve"> балл по русскому языку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zh-CN"/>
              </w:rPr>
              <w:t>71,1</w:t>
            </w:r>
          </w:p>
        </w:tc>
      </w:tr>
      <w:tr w:rsidR="00EC05F4" w:rsidRPr="00EC05F4" w:rsidTr="00625E65">
        <w:tc>
          <w:tcPr>
            <w:tcW w:w="5665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Общероссийский балл по русскому языку</w:t>
            </w:r>
          </w:p>
        </w:tc>
        <w:tc>
          <w:tcPr>
            <w:tcW w:w="1304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69,3</w:t>
            </w:r>
          </w:p>
        </w:tc>
        <w:tc>
          <w:tcPr>
            <w:tcW w:w="1276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71,4</w:t>
            </w:r>
          </w:p>
        </w:tc>
        <w:tc>
          <w:tcPr>
            <w:tcW w:w="1276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68,3</w:t>
            </w:r>
          </w:p>
        </w:tc>
      </w:tr>
      <w:tr w:rsidR="00EC05F4" w:rsidRPr="00EC05F4" w:rsidTr="00625E65">
        <w:tc>
          <w:tcPr>
            <w:tcW w:w="5665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Средний балл ЕГЭ по математике выпускников общеобразовательных организаций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140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lang w:eastAsia="zh-CN"/>
              </w:rPr>
              <w:t>57,1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140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lang w:eastAsia="zh-CN"/>
              </w:rPr>
              <w:t>60,3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140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lang w:eastAsia="zh-CN"/>
              </w:rPr>
              <w:t>58,5</w:t>
            </w:r>
          </w:p>
        </w:tc>
      </w:tr>
      <w:tr w:rsidR="00EC05F4" w:rsidRPr="00EC05F4" w:rsidTr="00625E65">
        <w:tc>
          <w:tcPr>
            <w:tcW w:w="5665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proofErr w:type="spellStart"/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Среднекраевой</w:t>
            </w:r>
            <w:proofErr w:type="spellEnd"/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 xml:space="preserve"> балл по математике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140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lang w:eastAsia="zh-CN"/>
              </w:rPr>
              <w:t>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140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lang w:eastAsia="zh-CN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140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EC05F4">
              <w:rPr>
                <w:rFonts w:ascii="Times New Roman" w:eastAsia="Times New Roman" w:hAnsi="Times New Roman" w:cs="Times New Roman"/>
                <w:lang w:eastAsia="zh-CN"/>
              </w:rPr>
              <w:t>59,4</w:t>
            </w:r>
          </w:p>
        </w:tc>
      </w:tr>
      <w:tr w:rsidR="00EC05F4" w:rsidRPr="00EC05F4" w:rsidTr="00625E65">
        <w:tc>
          <w:tcPr>
            <w:tcW w:w="5665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Общероссийский балл по математике</w:t>
            </w:r>
          </w:p>
        </w:tc>
        <w:tc>
          <w:tcPr>
            <w:tcW w:w="1304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lang w:eastAsia="zh-CN"/>
              </w:rPr>
              <w:t>54,2</w:t>
            </w:r>
          </w:p>
        </w:tc>
        <w:tc>
          <w:tcPr>
            <w:tcW w:w="1276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lang w:eastAsia="zh-CN"/>
              </w:rPr>
              <w:t>55,1</w:t>
            </w:r>
          </w:p>
        </w:tc>
        <w:tc>
          <w:tcPr>
            <w:tcW w:w="1276" w:type="dxa"/>
            <w:shd w:val="clear" w:color="auto" w:fill="auto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lang w:eastAsia="zh-CN"/>
              </w:rPr>
              <w:t>56,9</w:t>
            </w:r>
          </w:p>
        </w:tc>
      </w:tr>
    </w:tbl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sz w:val="20"/>
          <w:szCs w:val="20"/>
          <w:lang w:eastAsia="zh-CN"/>
        </w:rPr>
      </w:pPr>
    </w:p>
    <w:p w:rsidR="00EC05F4" w:rsidRPr="00EC05F4" w:rsidRDefault="00EC05F4" w:rsidP="00EC05F4">
      <w:pPr>
        <w:tabs>
          <w:tab w:val="left" w:pos="67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ab/>
      </w: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Все пункты проведения единого государственного экзамена обеспечены системой видеонаблюдения в режиме онлайн, основного государственного экзамена - офлайн.</w:t>
      </w:r>
    </w:p>
    <w:p w:rsidR="00EC05F4" w:rsidRPr="00EC05F4" w:rsidRDefault="00EC05F4" w:rsidP="00EC05F4">
      <w:pPr>
        <w:tabs>
          <w:tab w:val="left" w:pos="67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В связи с усилением требований к процедуре проведения государственной итоговой аттестации, санитарных правил и норм в форме основного государственного экзамена в 9 классе и государственного выпускного экзамена в 9 и 11 классах необходимо оборудовать сплит-системами все пункты проведения ОГЭ и ГВЭ на базе общеобразовательных организаций № 2, 6, 13, приобрести новое технологическое оборудование (МФУ, ноутбуки) для организации печати контрольно-измерительных материалов в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аудиториях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проведения экзаменов.</w:t>
      </w:r>
    </w:p>
    <w:p w:rsidR="00EC05F4" w:rsidRPr="00EC05F4" w:rsidRDefault="00EC05F4" w:rsidP="00EC05F4">
      <w:pPr>
        <w:tabs>
          <w:tab w:val="left" w:pos="81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В общеобразовательных организациях имеется доступ к сети Интернет.</w:t>
      </w:r>
    </w:p>
    <w:p w:rsidR="00EC05F4" w:rsidRPr="00EC05F4" w:rsidRDefault="00EC05F4" w:rsidP="00EC05F4">
      <w:pPr>
        <w:tabs>
          <w:tab w:val="left" w:pos="7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Однако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,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в ряде общеобразовательных организаций скорость доступа к сети Интернет составляет 128 Кбит/с, что не позволяет широко использовать информационные технологии в преподавании и управлении. Требуется увеличение доступа к сети Интернет с максимальной скоростью передачи данных 1 Мбит/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с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и выше.</w:t>
      </w:r>
    </w:p>
    <w:p w:rsidR="00EC05F4" w:rsidRPr="00EC05F4" w:rsidRDefault="00EC05F4" w:rsidP="00EC05F4">
      <w:pPr>
        <w:tabs>
          <w:tab w:val="left" w:pos="73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lastRenderedPageBreak/>
        <w:t>Учащиеся из 16 общеобразовательных организаций находятся на подвозе. В настоящее время подвоз обучающихся осуществляется 22 единицами транспорта, парк школьных автобусов пополняется (таблица 4).</w:t>
      </w:r>
    </w:p>
    <w:p w:rsidR="00EC05F4" w:rsidRPr="00EC05F4" w:rsidRDefault="00EC05F4" w:rsidP="00EC05F4">
      <w:pPr>
        <w:tabs>
          <w:tab w:val="left" w:pos="73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Таблица 4</w:t>
      </w:r>
    </w:p>
    <w:p w:rsidR="00EC05F4" w:rsidRPr="00EC05F4" w:rsidRDefault="00EC05F4" w:rsidP="00EC05F4">
      <w:pPr>
        <w:tabs>
          <w:tab w:val="left" w:pos="73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6"/>
        <w:gridCol w:w="2119"/>
        <w:gridCol w:w="2038"/>
        <w:gridCol w:w="1638"/>
      </w:tblGrid>
      <w:tr w:rsidR="00EC05F4" w:rsidRPr="00EC05F4" w:rsidTr="00625E65">
        <w:tc>
          <w:tcPr>
            <w:tcW w:w="3776" w:type="dxa"/>
            <w:vMerge w:val="restart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Количество приобретённых автобусов для перевозки обучающихся, ед.</w:t>
            </w:r>
          </w:p>
        </w:tc>
        <w:tc>
          <w:tcPr>
            <w:tcW w:w="2119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2020</w:t>
            </w:r>
          </w:p>
        </w:tc>
        <w:tc>
          <w:tcPr>
            <w:tcW w:w="2038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2021</w:t>
            </w:r>
          </w:p>
        </w:tc>
        <w:tc>
          <w:tcPr>
            <w:tcW w:w="1638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2022</w:t>
            </w:r>
          </w:p>
        </w:tc>
      </w:tr>
      <w:tr w:rsidR="00EC05F4" w:rsidRPr="00EC05F4" w:rsidTr="00625E65">
        <w:tc>
          <w:tcPr>
            <w:tcW w:w="3776" w:type="dxa"/>
            <w:vMerge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2119" w:type="dxa"/>
          </w:tcPr>
          <w:p w:rsidR="00EC05F4" w:rsidRPr="00EC05F4" w:rsidRDefault="00EC05F4" w:rsidP="00EC05F4">
            <w:pPr>
              <w:tabs>
                <w:tab w:val="left" w:pos="390"/>
                <w:tab w:val="center" w:pos="10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0</w:t>
            </w:r>
          </w:p>
        </w:tc>
        <w:tc>
          <w:tcPr>
            <w:tcW w:w="2038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1</w:t>
            </w:r>
          </w:p>
        </w:tc>
        <w:tc>
          <w:tcPr>
            <w:tcW w:w="1638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0</w:t>
            </w:r>
          </w:p>
        </w:tc>
      </w:tr>
    </w:tbl>
    <w:p w:rsidR="00EC05F4" w:rsidRPr="00EC05F4" w:rsidRDefault="00EC05F4" w:rsidP="00EC05F4">
      <w:pPr>
        <w:tabs>
          <w:tab w:val="left" w:pos="7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tabs>
          <w:tab w:val="left" w:pos="7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Вместе с тем, в связи с завершением срока эксплуатации школьных автобусов (более 10 лет) в целях обеспечения безопасного подвоза обучающихся к месту учёбы в период с 2023 по 2024 годы необходимо заменить 2 автобуса (для МАОУ СОШ № 2, МБОУ СОШ № 10).</w:t>
      </w:r>
    </w:p>
    <w:p w:rsidR="00EC05F4" w:rsidRPr="00EC05F4" w:rsidRDefault="00EC05F4" w:rsidP="00EC05F4">
      <w:pPr>
        <w:tabs>
          <w:tab w:val="left" w:pos="7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ab/>
      </w: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 xml:space="preserve">Важное место в системе образования района занимает дополнительное образование. Количество организаций дополнительного образования составляет 4.  </w:t>
      </w:r>
    </w:p>
    <w:p w:rsidR="00EC05F4" w:rsidRPr="00EC05F4" w:rsidRDefault="00EC05F4" w:rsidP="00EC05F4">
      <w:pPr>
        <w:tabs>
          <w:tab w:val="left" w:pos="7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Среднесписочный состав педагогических работников в организациях дополнительного образования в 2022 году составило 47 человек (таблица 5).</w:t>
      </w:r>
    </w:p>
    <w:p w:rsidR="00EC05F4" w:rsidRPr="00EC05F4" w:rsidRDefault="00EC05F4" w:rsidP="00EC05F4">
      <w:pPr>
        <w:tabs>
          <w:tab w:val="left" w:pos="705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Таблица 5</w:t>
      </w:r>
    </w:p>
    <w:p w:rsidR="00EC05F4" w:rsidRPr="00EC05F4" w:rsidRDefault="00EC05F4" w:rsidP="00EC05F4">
      <w:pPr>
        <w:tabs>
          <w:tab w:val="left" w:pos="705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  <w:highlight w:val="yellow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1309"/>
        <w:gridCol w:w="1276"/>
        <w:gridCol w:w="1275"/>
      </w:tblGrid>
      <w:tr w:rsidR="00EC05F4" w:rsidRPr="00EC05F4" w:rsidTr="00625E65">
        <w:tc>
          <w:tcPr>
            <w:tcW w:w="5665" w:type="dxa"/>
            <w:vMerge w:val="restart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Количество педагогических работников в организациях дополнительного образования, чел.</w:t>
            </w:r>
          </w:p>
        </w:tc>
        <w:tc>
          <w:tcPr>
            <w:tcW w:w="1309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2020</w:t>
            </w:r>
          </w:p>
        </w:tc>
        <w:tc>
          <w:tcPr>
            <w:tcW w:w="1276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2021</w:t>
            </w:r>
          </w:p>
        </w:tc>
        <w:tc>
          <w:tcPr>
            <w:tcW w:w="1275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2022</w:t>
            </w:r>
          </w:p>
        </w:tc>
      </w:tr>
      <w:tr w:rsidR="00EC05F4" w:rsidRPr="00EC05F4" w:rsidTr="00625E65">
        <w:tc>
          <w:tcPr>
            <w:tcW w:w="5665" w:type="dxa"/>
            <w:vMerge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1309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57</w:t>
            </w:r>
          </w:p>
        </w:tc>
        <w:tc>
          <w:tcPr>
            <w:tcW w:w="1276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53</w:t>
            </w:r>
          </w:p>
        </w:tc>
        <w:tc>
          <w:tcPr>
            <w:tcW w:w="1275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47</w:t>
            </w:r>
          </w:p>
        </w:tc>
      </w:tr>
    </w:tbl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Продолжает развиваться новое направление в дополнительном образовании -  робототехника, наиболее активно оно реализуется в МБОДО «Станция юных техников».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 xml:space="preserve">Однако требуется укрепление материально-технической базы организаций дополнительного образования, наиболее остро это касается реализации программы </w:t>
      </w:r>
      <w:r w:rsidRPr="00EC05F4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t>ранней профориентации и основ профессиональной подготовки школьников «</w:t>
      </w:r>
      <w:proofErr w:type="spellStart"/>
      <w:r w:rsidRPr="00EC05F4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t>ЮниорПрофи</w:t>
      </w:r>
      <w:proofErr w:type="spellEnd"/>
      <w:r w:rsidRPr="00EC05F4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t>»,</w:t>
      </w: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требуется создание условий для развития естественнонаучного направления, детско-юношеского туризма.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Наблюдается увеличение численности учащихся и воспитанников, занятых в организациях дополнительного образования (таблица 6).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Таблица 6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1218"/>
        <w:gridCol w:w="1276"/>
        <w:gridCol w:w="1134"/>
      </w:tblGrid>
      <w:tr w:rsidR="00EC05F4" w:rsidRPr="00EC05F4" w:rsidTr="00625E65">
        <w:tc>
          <w:tcPr>
            <w:tcW w:w="5949" w:type="dxa"/>
            <w:vMerge w:val="restart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Численность школьников, охваченных системой дополнительного образования</w:t>
            </w:r>
          </w:p>
        </w:tc>
        <w:tc>
          <w:tcPr>
            <w:tcW w:w="1218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2020</w:t>
            </w:r>
          </w:p>
        </w:tc>
        <w:tc>
          <w:tcPr>
            <w:tcW w:w="1276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2021</w:t>
            </w:r>
          </w:p>
        </w:tc>
        <w:tc>
          <w:tcPr>
            <w:tcW w:w="113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2022</w:t>
            </w:r>
          </w:p>
        </w:tc>
      </w:tr>
      <w:tr w:rsidR="00EC05F4" w:rsidRPr="00EC05F4" w:rsidTr="00625E65">
        <w:tc>
          <w:tcPr>
            <w:tcW w:w="5949" w:type="dxa"/>
            <w:vMerge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1218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5668</w:t>
            </w:r>
          </w:p>
        </w:tc>
        <w:tc>
          <w:tcPr>
            <w:tcW w:w="1276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5991</w:t>
            </w:r>
          </w:p>
        </w:tc>
        <w:tc>
          <w:tcPr>
            <w:tcW w:w="113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6176</w:t>
            </w:r>
          </w:p>
        </w:tc>
      </w:tr>
    </w:tbl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В общеобразовательных организациях реализуются адаптированные образовательные программы для детей с ограниченными возможностями, работают коррекционные классы для учащихся с задержкой психического развития и для учащихся с умственной отсталостью на базе школ № 2,3,4,5,6,7,10,11,12.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Требуется оснащение современным оборудованием кабинетов СБО (социально-бытовой ориентировки), технологии.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МБОУ СОШ № 1 является базовой по организации дистанционного обучения (таблица 7).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lastRenderedPageBreak/>
        <w:t>Таблица 7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1"/>
        <w:gridCol w:w="1219"/>
        <w:gridCol w:w="1134"/>
        <w:gridCol w:w="1134"/>
      </w:tblGrid>
      <w:tr w:rsidR="00EC05F4" w:rsidRPr="00EC05F4" w:rsidTr="00625E65">
        <w:tc>
          <w:tcPr>
            <w:tcW w:w="6091" w:type="dxa"/>
            <w:vMerge w:val="restart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 xml:space="preserve">Численность </w:t>
            </w:r>
            <w:proofErr w:type="gramStart"/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обучающихся</w:t>
            </w:r>
            <w:proofErr w:type="gramEnd"/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, охваченных дистанционным образованием</w:t>
            </w:r>
          </w:p>
        </w:tc>
        <w:tc>
          <w:tcPr>
            <w:tcW w:w="1219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2020</w:t>
            </w:r>
          </w:p>
        </w:tc>
        <w:tc>
          <w:tcPr>
            <w:tcW w:w="113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2021</w:t>
            </w:r>
          </w:p>
        </w:tc>
        <w:tc>
          <w:tcPr>
            <w:tcW w:w="113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2022</w:t>
            </w:r>
          </w:p>
        </w:tc>
      </w:tr>
      <w:tr w:rsidR="00EC05F4" w:rsidRPr="00EC05F4" w:rsidTr="00625E65">
        <w:tc>
          <w:tcPr>
            <w:tcW w:w="6091" w:type="dxa"/>
            <w:vMerge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</w:tcPr>
          <w:p w:rsidR="00EC05F4" w:rsidRPr="00EC05F4" w:rsidRDefault="00EC05F4" w:rsidP="00EC05F4">
            <w:pPr>
              <w:suppressAutoHyphens/>
              <w:spacing w:after="160" w:line="252" w:lineRule="auto"/>
              <w:jc w:val="center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16</w:t>
            </w:r>
          </w:p>
        </w:tc>
        <w:tc>
          <w:tcPr>
            <w:tcW w:w="113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17</w:t>
            </w:r>
          </w:p>
        </w:tc>
        <w:tc>
          <w:tcPr>
            <w:tcW w:w="1134" w:type="dxa"/>
          </w:tcPr>
          <w:p w:rsidR="00EC05F4" w:rsidRPr="00EC05F4" w:rsidRDefault="00EC05F4" w:rsidP="00EC05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</w:pPr>
            <w:r w:rsidRPr="00EC05F4">
              <w:rPr>
                <w:rFonts w:ascii="Times New Roman" w:eastAsia="Times New Roman" w:hAnsi="Times New Roman" w:cs="Calibri"/>
                <w:color w:val="000000"/>
                <w:sz w:val="24"/>
                <w:szCs w:val="28"/>
                <w:lang w:eastAsia="zh-CN"/>
              </w:rPr>
              <w:t>15</w:t>
            </w:r>
          </w:p>
        </w:tc>
      </w:tr>
    </w:tbl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Большинство образовательных организаций имеют инфраструктуру, соответствующую современным требованиям. Все общеобразовательные организации имеют медицинские кабинеты, оснащены оборудованием и лицензированы, тёплые туалеты.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 xml:space="preserve">Горячим питанием охвачено 97%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обучающихся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Необходим капитальный ремонт пищеблоков общеобразовательных организаций 2, 3, 4, 6, 8, замена технологического оборудования на пищеблоках образовательных организаций.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Капитально отремонтировано 20 спортивных залов, что от общего количества спортивных залов составляет 100%.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Вместе с тем принятые меры не позволили в полном объёме предоставить безопасные и комфортные условия для занятий физической культурой учащихся общеобразовательных организаций, наблюдается перегруженность спортивного зала  МАОУ СОШ № 2, требуется установка вентиляционной системы.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Осуществлен </w:t>
      </w:r>
      <w:r w:rsidRPr="00EC05F4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ремонт кровли в МБОУ СОШ № 11,  № 22.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highlight w:val="yellow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2021-2022 году выполнены различные виды работ в рамках текущих ремонтов в 14 образовательных организациях из средств муниципального бюджета 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Все здания образовательных организаций оснащены приборами учёта тепла и воды.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Необходимо: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- дальнейшая замена оконных блоков в образовательных организациях (школы № 2,3,4,10,12,13, детских садах № 8,19,28,);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-   замена кровли в школах № 3,5, 27, детских садах № 1,30;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- строительство спортивных залов школ № 1, 2;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ab/>
        <w:t>- выполнение предписаний надзорных органов.</w:t>
      </w:r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b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 xml:space="preserve">2. Цель, задачи и целевые показатели, 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 xml:space="preserve">сроки и этапы реализации муниципальной программы 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Целью программы является обеспечение высокого качества образования в соответствии с меняющимися запросами населения муниципального образования Ленинградский район и перспективными задачами развития общества и экономики.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Задачами программы являются: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4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4"/>
          <w:lang w:eastAsia="zh-CN"/>
        </w:rPr>
        <w:t xml:space="preserve">- развитие сети и инфраструктуры образовательных организаций, обеспечивающих </w:t>
      </w: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детей;</w:t>
      </w:r>
    </w:p>
    <w:p w:rsidR="00EC05F4" w:rsidRPr="00EC05F4" w:rsidRDefault="00EC05F4" w:rsidP="00EC05F4">
      <w:pPr>
        <w:tabs>
          <w:tab w:val="left" w:pos="571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4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4"/>
          <w:lang w:eastAsia="zh-CN"/>
        </w:rPr>
        <w:lastRenderedPageBreak/>
        <w:t>- развитие современных механизмов, содержания и технологий дошкольного, общего и дополнительного образования;</w:t>
      </w:r>
    </w:p>
    <w:p w:rsidR="00EC05F4" w:rsidRPr="00EC05F4" w:rsidRDefault="00EC05F4" w:rsidP="00EC05F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4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4"/>
          <w:lang w:eastAsia="zh-CN"/>
        </w:rPr>
        <w:t>реализация мер  по популяризации среди детей и молодёжи научно-образовательной, творческой и спортивной деятельности, выявление талантливой молодёжи;</w:t>
      </w:r>
    </w:p>
    <w:p w:rsidR="00EC05F4" w:rsidRPr="00EC05F4" w:rsidRDefault="00EC05F4" w:rsidP="00EC05F4">
      <w:pPr>
        <w:tabs>
          <w:tab w:val="left" w:pos="571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4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4"/>
          <w:lang w:eastAsia="zh-CN"/>
        </w:rPr>
        <w:t>- реализация мер по социальной поддержке отдельных категорий обучающихся;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Calibri"/>
          <w:sz w:val="24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4"/>
          <w:lang w:eastAsia="zh-CN"/>
        </w:rPr>
        <w:t>- формирование востребованной системы оценки качества образования и образовательных результатов;</w:t>
      </w:r>
    </w:p>
    <w:p w:rsidR="00EC05F4" w:rsidRPr="00EC05F4" w:rsidRDefault="00EC05F4" w:rsidP="00EC05F4">
      <w:pPr>
        <w:tabs>
          <w:tab w:val="left" w:pos="571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4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4"/>
          <w:lang w:eastAsia="zh-CN"/>
        </w:rPr>
        <w:t>обеспечение  отрасли образования высококвалифицированными кадрами;</w:t>
      </w:r>
    </w:p>
    <w:p w:rsidR="00EC05F4" w:rsidRPr="00EC05F4" w:rsidRDefault="00EC05F4" w:rsidP="00EC05F4">
      <w:pPr>
        <w:tabs>
          <w:tab w:val="left" w:pos="81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4"/>
          <w:lang w:eastAsia="zh-CN"/>
        </w:rPr>
        <w:t>- создание механизмов мотивации педагогов к повышению качества работы и непрерывному профессиональному развитию.</w:t>
      </w:r>
    </w:p>
    <w:p w:rsidR="00EC05F4" w:rsidRPr="00EC05F4" w:rsidRDefault="00EC05F4" w:rsidP="00EC05F4">
      <w:pPr>
        <w:tabs>
          <w:tab w:val="left" w:pos="810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Сроки реализации муниципальной программы - 2021-2023 годы.</w:t>
      </w:r>
    </w:p>
    <w:p w:rsidR="00EC05F4" w:rsidRPr="00EC05F4" w:rsidRDefault="00EC05F4" w:rsidP="00EC05F4">
      <w:pPr>
        <w:tabs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Цели, задачи и целевые показатели, методика расчета целевых показателей  муниципальной программы приведены в Приложении 1.</w:t>
      </w:r>
    </w:p>
    <w:p w:rsidR="00EC05F4" w:rsidRPr="00EC05F4" w:rsidRDefault="00EC05F4" w:rsidP="00EC05F4">
      <w:pPr>
        <w:tabs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tabs>
          <w:tab w:val="left" w:pos="376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>3.Перечень и краткое описание</w:t>
      </w: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</w:t>
      </w:r>
    </w:p>
    <w:p w:rsidR="00EC05F4" w:rsidRPr="00EC05F4" w:rsidRDefault="00EC05F4" w:rsidP="00EC05F4">
      <w:pPr>
        <w:tabs>
          <w:tab w:val="left" w:pos="376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>основных мероприятий муниципальной программы</w:t>
      </w:r>
    </w:p>
    <w:p w:rsidR="00EC05F4" w:rsidRPr="00EC05F4" w:rsidRDefault="00EC05F4" w:rsidP="00EC05F4">
      <w:pPr>
        <w:tabs>
          <w:tab w:val="left" w:pos="37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tabs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Перечень основных мероприятий муниципальной программы приведён в Приложении 2.</w:t>
      </w:r>
    </w:p>
    <w:p w:rsidR="00EC05F4" w:rsidRPr="00EC05F4" w:rsidRDefault="00EC05F4" w:rsidP="00EC05F4">
      <w:pPr>
        <w:tabs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Перечень мероприятий муниципальной программы структурирован по следующим направлениям:</w:t>
      </w:r>
    </w:p>
    <w:p w:rsidR="00EC05F4" w:rsidRPr="00EC05F4" w:rsidRDefault="00EC05F4" w:rsidP="00EC05F4">
      <w:pPr>
        <w:tabs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детей. Мероприятия  данного блока представляют собой проведение капитального ремонта зданий и помещений, благоустройство территорий образовательных организаций;</w:t>
      </w:r>
    </w:p>
    <w:p w:rsidR="00EC05F4" w:rsidRPr="00EC05F4" w:rsidRDefault="00EC05F4" w:rsidP="00EC05F4">
      <w:pPr>
        <w:tabs>
          <w:tab w:val="left" w:pos="945"/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развитие современных механизмов, содержания и технологий дошкольного, общего и дополнительного образования. В данный блок включены мероприятия, касающиеся финансового обеспечения образовательных организаций в рамках выполнения муниципального задания, приобретения учебников и учебных пособий, средств обучения, а также выплаты компенсации части родительской платы за присмотр и уход за детьми, посещающими дошкольные образовательные организации, и мероприятия по созданию Центров образования цифрового и гуманитарного профилей «Точка роста» в общеобразовательных организациях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;</w:t>
      </w:r>
      <w:proofErr w:type="gramEnd"/>
    </w:p>
    <w:p w:rsidR="00EC05F4" w:rsidRPr="00EC05F4" w:rsidRDefault="00EC05F4" w:rsidP="00EC05F4">
      <w:pPr>
        <w:tabs>
          <w:tab w:val="left" w:pos="945"/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- реализация мер по популяризации среди детей и молодежи научно-образовательной, творческой и спортивной деятельности, выявление талантливой молодежи. В данный блок включены мероприятия различной направленности: гражданско-патриотической, спортивной, технической, мероприятия  для одаренных детей: торжественный прием главой муниципального образования победителей и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призеров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интеллектуальных и творческих конкурсов, спортивных соревнований;</w:t>
      </w:r>
    </w:p>
    <w:p w:rsidR="00EC05F4" w:rsidRPr="00EC05F4" w:rsidRDefault="00EC05F4" w:rsidP="00EC05F4">
      <w:pPr>
        <w:tabs>
          <w:tab w:val="left" w:pos="945"/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lastRenderedPageBreak/>
        <w:t xml:space="preserve">- реализация мер по социальной поддержке отдельных категорий обучающихся.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В данном блоке программы представлены мероприятия, направленные на социальную поддержку детей: обеспечение льготным питанием  учащихся из многодетных семей, обеспечение школьников молоком и молочными продуктами, обеспечение горячим питанием обучающихся 1-4 классов всех школ района, а так же предоставление  дополнительных мер социальной поддержки  в виде частичной оплаты стоимости питания обучающихся общеобразовательных организаций;</w:t>
      </w:r>
      <w:proofErr w:type="gramEnd"/>
    </w:p>
    <w:p w:rsidR="00EC05F4" w:rsidRPr="00EC05F4" w:rsidRDefault="00EC05F4" w:rsidP="00EC05F4">
      <w:pPr>
        <w:tabs>
          <w:tab w:val="left" w:pos="945"/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формирование востребованной системы оценки качества образования и образовательных результатов. Данный блок мероприятий составляют мероприятия по организации и проведению государственной итоговой аттестации выпускников (ОГЭ, ЕГЭ),  а также финансовое обеспечение деятельности подведомственных учреждений;</w:t>
      </w:r>
    </w:p>
    <w:p w:rsidR="00EC05F4" w:rsidRPr="00EC05F4" w:rsidRDefault="00EC05F4" w:rsidP="00EC05F4">
      <w:pPr>
        <w:tabs>
          <w:tab w:val="left" w:pos="945"/>
          <w:tab w:val="left" w:pos="62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- 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развитию.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Мероприятиями в данном блоке являются следующие: поощрение образовательных организаций - победителей конкурса на лучшую подготовку к новому учебному году, проведение торжественного приема главой района лучших педагогических работников в честь Дня учителя, проведение процедуры независимой оценки качества условий проведения образовательной деятельности, единовременная выплата молодым педагогам, обеспечение выплат ежемесячного денежного вознаграждения за классное руководство.</w:t>
      </w:r>
      <w:proofErr w:type="gramEnd"/>
    </w:p>
    <w:p w:rsidR="00EC05F4" w:rsidRPr="00EC05F4" w:rsidRDefault="00EC05F4" w:rsidP="00EC05F4">
      <w:pPr>
        <w:tabs>
          <w:tab w:val="left" w:pos="7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>4.Обоснование ресурсного обеспечения муниципальной программы</w:t>
      </w: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Ресурсное обеспечение реализации основных мероприятий муниципальной программы осуществляется из средств федерального бюджета, сре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дств кр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аевого бюджета, средств муниципального бюджете и внебюджетных источников. 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На период с 2021 по 2024 годы при определении ресурсного обеспечения муниципальной программы применен планово-расчетный метод в ценах 2021 года.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Источником финансирования муниципальной программы являются средства муниципального бюджета.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Объем финансового обеспечения муниципальной программы из средств федерального бюджета на реализацию её мероприятий рассчитан в соответствии с методикой, утвержденной федеральным законом о федеральном бюджете, и подлежит уточнению согласно соответствующим изменениям в данном нормативно-правовом акте.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Объем финансовых ресурсов из сре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дств кр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аевого бюджета на реализацию мероприятий муниципальной программы рассчитан в соответствии с методикой, утвержденной законом Краснодарского края о краевом бюджете, и подлежит уточнению согласно соответствующим изменениям в данном нормативно-правовом акте.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lastRenderedPageBreak/>
        <w:t xml:space="preserve">Объем финансовых ресурсов из средств муниципального бюджета на реализацию мероприятий муниципальной программы подлежит уточнению в соответствии с решением Совета муниципального образования Ленинградский район о муниципальном бюджете. 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Сведения об общем объеме финансирования муниципальной программы приведены в таблице «Обоснование ресурсного обеспечения муниципальной программы муниципального образования Ленинградский район «Развитие образования в муниципальном образовании Ленинградский район» (Приложение 3).</w:t>
      </w:r>
    </w:p>
    <w:p w:rsidR="00EC05F4" w:rsidRPr="00EC05F4" w:rsidRDefault="00EC05F4" w:rsidP="00EC05F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>5.Методика оценки эффективности реализации</w:t>
      </w:r>
    </w:p>
    <w:p w:rsidR="00EC05F4" w:rsidRPr="00EC05F4" w:rsidRDefault="00EC05F4" w:rsidP="00EC05F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>муниципальной программы</w:t>
      </w: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Оценка эффективности реализации муниципальной программы производится ежегодно, результаты представляются координатором в виде ежегодного доклада о ходе реализации муниципальной программы и оценке эффективности её реализации.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В основу оценки эффективности реализации муниципальной программы положена типовая методика реализации муниципальной программы (приложение 6 к Порядку решения о разработке, формирования, реализации муниципальных программ муниципального образования Ленинградский район, утверждённого постановлением администрации муниципального образования Ленинградский район от 16 июля 2015 г. № 581 (с изменениями и дополнениями).</w:t>
      </w:r>
      <w:proofErr w:type="gramEnd"/>
    </w:p>
    <w:p w:rsidR="00EC05F4" w:rsidRPr="00EC05F4" w:rsidRDefault="00EC05F4" w:rsidP="00EC05F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 xml:space="preserve">6.Механизм реализации муниципальной программы </w:t>
      </w:r>
    </w:p>
    <w:p w:rsidR="00EC05F4" w:rsidRPr="00EC05F4" w:rsidRDefault="00EC05F4" w:rsidP="00EC05F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0"/>
          <w:szCs w:val="20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Текущее управление муниципальной программой осуществляет управление образования администрации муниципального образования, которое: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обеспечивает разработку муниципальной программы;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формирует структуру муниципальной программы;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организует реализацию муниципальной программы;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несёт ответственность за достижение целевых показателей муниципальной программы;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осуществляет подготовку предложений по объёмам и источникам финансирования муниципальной программы;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проводит мониторинг реализации муниципальной программы и анализ отчётности, представляемой получателем субсидий, субвенций и иных межбюджетных средств;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проводит ежегодно оценку эффективности реализации муниципальной программы;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готовит ежегодный доклад о ходе реализации муниципальной программы и оценке эффективности её реализации;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организует информационную и разъяснительную работу, направленную на освещение целей и задач муниципальной программы  в печатных средствах информации, на информационном сайте в сети Интернет;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lastRenderedPageBreak/>
        <w:t>- размещает информацию о ходе реализации достигнутых результатов на официальном сайте в информационно-коммуникационной сети Интернет;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осуществляет иные полномочия, установленные муниципальной программой.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Механизм реализации программы предполагает: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1.Закупку товаров, работ, услуг для муниципальных нужд за счёт средств краевого бюджета в соответствии с Федеральным законом от 5 апреля 2013 г.   № 44-ФЗ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район.</w:t>
      </w:r>
      <w:proofErr w:type="gramEnd"/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2.Предоставление в установленном законодательством порядке субсидий из краевого бюджета муниципальным бюджетным и автономным образовательным учреждениям на финансовое обеспечение выполнения муниципального задания и иные цели в соответствии с постановлением администрации муниципального образования Ленинградский район от 10 сентября 2013 г. № 1119 «Об утверждении определения объёма и условий предоставления субсидий из местного бюджета бюджетным и автономным учреждениям, находящимся в ведении управления образования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администрации муниципального образования Ленинградский район, на иные цели, не связанные с возмещением нормативных затрат на выполнение муниципального задания».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Предоставление субсидий муниципальным бюджетным и автономным образовательным учреждениям в целях финансового обеспечения выполнения муниципального задания осуществляется в соответствии с постановлением администрации муниципального образования Ленинградский район от 21 октября 2015 г. № 816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  <w:proofErr w:type="gramEnd"/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Муниципальный заказчик: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проводит анализ выполнения мероприятий;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несёт ответственность за нецелевое и неэффективное использование выделенных в его распоряжение бюджетных средств.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Главный распорядитель бюджетных сре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дств в пр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еделах полномочий, установленных бюджетным законодательством: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обеспечивает результативность, адресность и целевой характер использования бюджетных сре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дств в с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оответствии с утверждёнными ему бюджетными ассигнованиями, и доведёнными лимитами бюджетных обязательств;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- разрабатывает формы отчётности для получателей субсидий, субвенций и иных межбюджетных трансфертов, необходимые для осуществления </w:t>
      </w: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контроля за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выполнением муниципальной программы, устанавливает сроки их представления.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Меры налогового, тарифного, кредитного регулирования муниципальной программы не предусмотрены.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lastRenderedPageBreak/>
        <w:t>Одним из рисков реализации муниципальной программы может стать сокращение ранее предусмотренного финансирования на её реализацию.  В этом случае потребуется реструктурировать изменения финансирования мероприятий муниципальной программы, разработать и реализовать механизмы приостановки уже начатых изменений.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К рискам реализации муниципальной программы также можно отнести риск неэффективного управления муниципальной программой, который может привести к невыполнению основных задач, поставленных перед системой образования.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Для минимизации возможных отрицательных последствий реализации муниципальной программы будет предпринят ряд мер, в том числе: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гибкое управление ходом реализации муниципальной программы и принятие необходимых корректирующих решений на основе мониторинга хода реализации муниципальной программы;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- более широкое привлечение педагогической и родительской общественности к реализации и оценке результатов реализации муниципальной программы.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Реализация мероприятий программы не требует изменения правового регулирования в области образования.</w:t>
      </w:r>
    </w:p>
    <w:p w:rsidR="00EC05F4" w:rsidRPr="00EC05F4" w:rsidRDefault="00EC05F4" w:rsidP="00EC0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При внесении изменений в программу будут разработаны и утверждены нормативные правовые акты, регулирующие реализацию данных мероприятий.</w:t>
      </w:r>
    </w:p>
    <w:p w:rsidR="00EC05F4" w:rsidRPr="00EC05F4" w:rsidRDefault="00EC05F4" w:rsidP="00EC05F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  <w:proofErr w:type="gram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Исполняющий</w:t>
      </w:r>
      <w:proofErr w:type="gram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обязанности</w:t>
      </w: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начальника управления образования</w:t>
      </w: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администрации муниципального образования                                   </w:t>
      </w:r>
      <w:proofErr w:type="spellStart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О.В.Казимир</w:t>
      </w:r>
      <w:proofErr w:type="spellEnd"/>
      <w:r w:rsidRPr="00EC05F4">
        <w:rPr>
          <w:rFonts w:ascii="Times New Roman" w:eastAsia="Times New Roman" w:hAnsi="Times New Roman" w:cs="Calibri"/>
          <w:sz w:val="28"/>
          <w:szCs w:val="28"/>
          <w:lang w:eastAsia="zh-CN"/>
        </w:rPr>
        <w:t>»</w:t>
      </w: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EC05F4" w:rsidRPr="00EC05F4" w:rsidRDefault="00EC05F4" w:rsidP="00EC05F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C05F4" w:rsidRPr="00EC05F4" w:rsidRDefault="00EC05F4" w:rsidP="00EC05F4">
      <w:pPr>
        <w:suppressAutoHyphens/>
        <w:spacing w:after="160" w:line="252" w:lineRule="auto"/>
        <w:ind w:left="4956"/>
        <w:rPr>
          <w:rFonts w:ascii="Calibri" w:eastAsia="Times New Roman" w:hAnsi="Calibri" w:cs="Calibri"/>
        </w:rPr>
      </w:pPr>
    </w:p>
    <w:p w:rsidR="00EC05F4" w:rsidRPr="00EC05F4" w:rsidRDefault="00EC05F4" w:rsidP="00EC05F4">
      <w:pPr>
        <w:suppressAutoHyphens/>
        <w:spacing w:after="160" w:line="252" w:lineRule="auto"/>
        <w:ind w:left="4956"/>
        <w:rPr>
          <w:rFonts w:ascii="Calibri" w:eastAsia="Times New Roman" w:hAnsi="Calibri" w:cs="Calibri"/>
        </w:rPr>
      </w:pPr>
    </w:p>
    <w:p w:rsidR="00EC05F4" w:rsidRPr="00EC05F4" w:rsidRDefault="00EC05F4" w:rsidP="00EC05F4">
      <w:pPr>
        <w:suppressAutoHyphens/>
        <w:spacing w:after="160" w:line="252" w:lineRule="auto"/>
        <w:rPr>
          <w:rFonts w:ascii="Calibri" w:eastAsia="Times New Roman" w:hAnsi="Calibri" w:cs="Calibri"/>
        </w:rPr>
      </w:pPr>
    </w:p>
    <w:p w:rsidR="001D15FA" w:rsidRDefault="001D15FA">
      <w:bookmarkStart w:id="1" w:name="_GoBack"/>
      <w:bookmarkEnd w:id="1"/>
    </w:p>
    <w:sectPr w:rsidR="001D15FA" w:rsidSect="00EC05F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5F4"/>
    <w:rsid w:val="001D15FA"/>
    <w:rsid w:val="00EC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3673</Words>
  <Characters>20939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Доброго Дня</cp:lastModifiedBy>
  <cp:revision>1</cp:revision>
  <dcterms:created xsi:type="dcterms:W3CDTF">2023-07-04T10:31:00Z</dcterms:created>
  <dcterms:modified xsi:type="dcterms:W3CDTF">2023-07-04T10:32:00Z</dcterms:modified>
</cp:coreProperties>
</file>