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0"/>
                <w:szCs w:val="20"/>
              </w:rPr>
            </w:pPr>
            <w:r>
              <w:rPr>
                <w:rFonts w:ascii="FreeSerif" w:hAnsi="FreeSerif" w:eastAsia="FreeSerif" w:cs="FreeSerif"/>
                <w:sz w:val="20"/>
                <w:szCs w:val="20"/>
              </w:rPr>
            </w:r>
            <w:r>
              <w:rPr>
                <w:rFonts w:ascii="FreeSerif" w:hAnsi="FreeSerif" w:cs="FreeSerif"/>
                <w:sz w:val="20"/>
                <w:szCs w:val="20"/>
              </w:rPr>
            </w:r>
            <w:r>
              <w:rPr>
                <w:rFonts w:ascii="FreeSerif" w:hAnsi="FreeSerif" w:cs="FreeSerif"/>
                <w:sz w:val="20"/>
                <w:szCs w:val="20"/>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0"/>
                <w:szCs w:val="20"/>
              </w:rPr>
            </w:pPr>
            <w:r>
              <w:rPr>
                <w:rFonts w:ascii="FreeSerif" w:hAnsi="FreeSerif" w:eastAsia="FreeSerif" w:cs="FreeSerif"/>
                <w:sz w:val="20"/>
                <w:szCs w:val="20"/>
              </w:rPr>
            </w:r>
            <w:r>
              <w:rPr>
                <w:rFonts w:ascii="FreeSerif" w:hAnsi="FreeSerif" w:cs="FreeSerif"/>
                <w:sz w:val="20"/>
                <w:szCs w:val="20"/>
              </w:rPr>
            </w:r>
            <w:r>
              <w:rPr>
                <w:rFonts w:ascii="FreeSerif" w:hAnsi="FreeSerif" w:cs="FreeSerif"/>
                <w:sz w:val="20"/>
                <w:szCs w:val="20"/>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0"/>
                <w:szCs w:val="20"/>
              </w:rPr>
            </w:pPr>
            <w:r>
              <w:rPr>
                <w:rFonts w:ascii="FreeSerif" w:hAnsi="FreeSerif" w:eastAsia="FreeSerif" w:cs="FreeSerif"/>
                <w:sz w:val="20"/>
                <w:szCs w:val="20"/>
              </w:rPr>
            </w:r>
            <w:r>
              <w:rPr>
                <w:rFonts w:ascii="FreeSerif" w:hAnsi="FreeSerif" w:cs="FreeSerif"/>
                <w:sz w:val="20"/>
                <w:szCs w:val="20"/>
              </w:rPr>
            </w:r>
            <w:r>
              <w:rPr>
                <w:rFonts w:ascii="FreeSerif" w:hAnsi="FreeSerif" w:cs="FreeSerif"/>
                <w:sz w:val="20"/>
                <w:szCs w:val="20"/>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69</w:t>
            </w:r>
            <w:r>
              <w:rPr>
                <w:rFonts w:ascii="FreeSerif" w:hAnsi="FreeSerif" w:cs="FreeSerif"/>
                <w:sz w:val="28"/>
                <w:szCs w:val="28"/>
              </w:rPr>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r>
    </w:tbl>
    <w:p>
      <w:pPr>
        <w:contextualSpacing/>
        <w:jc w:val="right"/>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r>
        <w:rPr>
          <w:rFonts w:ascii="FreeSerif" w:hAnsi="FreeSerif" w:cs="FreeSerif"/>
          <w:sz w:val="28"/>
          <w:szCs w:val="28"/>
        </w:rPr>
      </w:r>
    </w:p>
    <w:p>
      <w:pPr>
        <w:contextualSpacing/>
        <w:jc w:val="right"/>
        <w:spacing w:line="240" w:lineRule="auto"/>
        <w:rPr>
          <w:rFonts w:ascii="FreeSerif" w:hAnsi="FreeSerif" w:eastAsia="FreeSerif" w:cs="FreeSerif"/>
          <w:sz w:val="28"/>
          <w:szCs w:val="28"/>
          <w:highlight w:val="none"/>
        </w:rPr>
      </w:pPr>
      <w:r>
        <w:rPr>
          <w:rFonts w:ascii="FreeSerif" w:hAnsi="FreeSerif" w:eastAsia="FreeSerif" w:cs="FreeSerif"/>
          <w:sz w:val="28"/>
          <w:szCs w:val="28"/>
          <w:highlight w:val="none"/>
        </w:rPr>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contextualSpacing/>
        <w:jc w:val="right"/>
        <w:spacing w:line="240" w:lineRule="auto"/>
        <w:rPr>
          <w:rFonts w:ascii="FreeSerif" w:hAnsi="FreeSerif" w:eastAsia="FreeSerif" w:cs="FreeSerif"/>
          <w:vanish/>
          <w:sz w:val="28"/>
          <w:szCs w:val="28"/>
          <w:highlight w:val="none"/>
        </w:rPr>
      </w:pPr>
      <w:r>
        <w:rPr>
          <w:rFonts w:ascii="FreeSerif" w:hAnsi="FreeSerif" w:eastAsia="FreeSerif" w:cs="FreeSerif"/>
          <w:sz w:val="28"/>
          <w:szCs w:val="28"/>
        </w:rPr>
        <w:t xml:space="preserve">Тысяч рублей</w:t>
      </w:r>
      <w:r>
        <w:rPr>
          <w:rFonts w:ascii="FreeSerif" w:hAnsi="FreeSerif" w:eastAsia="FreeSerif" w:cs="FreeSerif"/>
          <w:vanish/>
          <w:sz w:val="28"/>
          <w:szCs w:val="28"/>
          <w:highlight w:val="none"/>
        </w:rPr>
      </w:r>
      <w:r>
        <w:rPr>
          <w:rFonts w:ascii="FreeSerif" w:hAnsi="FreeSerif" w:eastAsia="FreeSerif" w:cs="FreeSerif"/>
          <w:vanish/>
          <w:sz w:val="28"/>
          <w:szCs w:val="28"/>
          <w:highlight w:val="none"/>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bl>
      <w:tblPr>
        <w:tblStyle w:val="865"/>
        <w:tblW w:w="9638" w:type="dxa"/>
        <w:tblInd w:w="108" w:type="dxa"/>
        <w:tblLayout w:type="fixed"/>
        <w:tblLook w:val="04A0" w:firstRow="1" w:lastRow="0" w:firstColumn="1" w:lastColumn="0" w:noHBand="0" w:noVBand="1"/>
      </w:tblPr>
      <w:tblGrid>
        <w:gridCol w:w="5103"/>
        <w:gridCol w:w="2268"/>
        <w:gridCol w:w="1134"/>
        <w:gridCol w:w="1133"/>
      </w:tblGrid>
      <w:tr>
        <w:tblPrEx/>
        <w:trPr>
          <w:trHeight w:val="300"/>
        </w:trPr>
        <w:tc>
          <w:tcPr>
            <w:tcW w:w="5103"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r>
              <w:rPr>
                <w:rFonts w:ascii="FreeSerif" w:hAnsi="FreeSerif" w:cs="FreeSerif"/>
                <w:bCs/>
                <w:sz w:val="24"/>
                <w:szCs w:val="24"/>
              </w:rPr>
            </w:r>
          </w:p>
        </w:tc>
        <w:tc>
          <w:tcPr>
            <w:tcW w:w="2268"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r>
              <w:rPr>
                <w:rFonts w:ascii="FreeSerif" w:hAnsi="FreeSerif" w:cs="FreeSerif"/>
                <w:bCs/>
                <w:sz w:val="24"/>
                <w:szCs w:val="24"/>
              </w:rPr>
            </w:r>
          </w:p>
        </w:tc>
        <w:tc>
          <w:tcPr>
            <w:tcW w:w="1133"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r>
              <w:rPr>
                <w:rFonts w:ascii="FreeSerif" w:hAnsi="FreeSerif" w:cs="FreeSerif"/>
                <w:bCs/>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38 411,3</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37 543,7</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12 147,0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11 280,4</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4 725,0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5 403,0</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4 725,0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5 403,0</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1 636,0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1 637,7</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1 636,0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1 637,7</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2 650,0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524,3</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2 650,0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524,3</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3 136,0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3 685,3</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605,0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808,4</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2 531,0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2 876,9</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1 406,0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1 840,5</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1 125,0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1 036,4</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САНКЦИИ, ВОЗМЕЩЕНИЕ УЩЕРБА</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30,0</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Административные штрафы, установленные Кодексом Российской Федерации об административных правонарушениях</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11601000010000140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30,0</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w:t>
            </w:r>
            <w:r>
              <w:rPr>
                <w:rFonts w:ascii="FreeSerif" w:hAnsi="FreeSerif" w:eastAsia="FreeSerif" w:cs="FreeSerif"/>
                <w:sz w:val="24"/>
                <w:szCs w:val="24"/>
              </w:rPr>
              <w:t xml:space="preserve">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11601154010000140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30,0</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26 264,3</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26 263,3</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26 264,3</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26 260,3</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9 042,3</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9 042,3</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1 854,1</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1 854,1</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7 188,2</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7 188,2</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бюджетной системы Российской Федерации (межбюджетные субсидии)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20220000000000150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16 030,6</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16 026,5</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субсидии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20229999000000150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16 030,6</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16 026,5</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субсидии бюджетам сельских поселений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20229999100000150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16 030,6</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16 026,5</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1 045,5</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1 045,5</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w:t>
            </w:r>
            <w:bookmarkStart w:id="0" w:name="_GoBack"/>
            <w:r>
              <w:rPr>
                <w:rFonts w:ascii="FreeSerif" w:hAnsi="FreeSerif" w:eastAsia="FreeSerif" w:cs="FreeSerif"/>
              </w:rPr>
            </w:r>
            <w:bookmarkEnd w:id="0"/>
            <w:r>
              <w:rPr>
                <w:rFonts w:ascii="FreeSerif" w:hAnsi="FreeSerif" w:eastAsia="FreeSerif" w:cs="FreeSerif"/>
                <w:sz w:val="24"/>
                <w:szCs w:val="24"/>
              </w:rPr>
              <w:t xml:space="preserve">передаваемые бюджетам сельских поселений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1 045,5</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1 045,5</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 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3,1</w:t>
            </w:r>
            <w:r>
              <w:rPr>
                <w:rFonts w:ascii="FreeSerif" w:hAnsi="FreeSerif" w:cs="FreeSerif"/>
                <w:sz w:val="24"/>
                <w:szCs w:val="24"/>
              </w:rPr>
            </w:r>
            <w:r>
              <w:rPr>
                <w:rFonts w:ascii="FreeSerif" w:hAnsi="FreeSerif" w:cs="FreeSerif"/>
                <w:sz w:val="24"/>
                <w:szCs w:val="24"/>
              </w:rPr>
            </w:r>
          </w:p>
        </w:tc>
      </w:tr>
      <w:tr>
        <w:tblPrEx/>
        <w:trPr>
          <w:trHeight w:val="300"/>
        </w:trPr>
        <w:tc>
          <w:tcPr>
            <w:tcW w:w="5103"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сельских поселений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r>
              <w:rPr>
                <w:rFonts w:ascii="FreeSerif" w:hAnsi="FreeSerif" w:cs="FreeSerif"/>
                <w:sz w:val="24"/>
                <w:szCs w:val="24"/>
              </w:rPr>
            </w:r>
          </w:p>
        </w:tc>
        <w:tc>
          <w:tcPr>
            <w:tcW w:w="1133"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3,1</w:t>
            </w:r>
            <w:r>
              <w:rPr>
                <w:rFonts w:ascii="FreeSerif" w:hAnsi="FreeSerif" w:cs="FreeSerif"/>
                <w:sz w:val="24"/>
                <w:szCs w:val="24"/>
              </w:rPr>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rPr>
      </w:pPr>
      <w:r>
        <w:rPr>
          <w:rFonts w:ascii="FreeSerif" w:hAnsi="FreeSerif" w:eastAsia="FreeSerif" w:cs="FreeSerif"/>
          <w:sz w:val="28"/>
        </w:rPr>
        <w:t xml:space="preserve">Заместитель главы </w:t>
      </w:r>
      <w:r>
        <w:rPr>
          <w:rFonts w:ascii="FreeSerif" w:hAnsi="FreeSerif" w:eastAsia="FreeSerif" w:cs="FreeSerif"/>
          <w:sz w:val="28"/>
        </w:rPr>
        <w:t xml:space="preserve">Ленинградского</w:t>
      </w:r>
      <w:r>
        <w:rPr>
          <w:rFonts w:ascii="FreeSerif" w:hAnsi="FreeSerif" w:cs="FreeSerif"/>
          <w:sz w:val="28"/>
        </w:rPr>
      </w:r>
      <w:r>
        <w:rPr>
          <w:rFonts w:ascii="FreeSerif" w:hAnsi="FreeSerif" w:cs="FreeSerif"/>
          <w:sz w:val="28"/>
        </w:rPr>
      </w:r>
    </w:p>
    <w:p>
      <w:pPr>
        <w:contextualSpacing/>
        <w:spacing w:line="240" w:lineRule="auto"/>
        <w:rPr>
          <w:rFonts w:ascii="FreeSerif" w:hAnsi="FreeSerif" w:cs="FreeSerif"/>
          <w:sz w:val="28"/>
        </w:rPr>
      </w:pPr>
      <w:r>
        <w:rPr>
          <w:rFonts w:ascii="FreeSerif" w:hAnsi="FreeSerif" w:eastAsia="FreeSerif" w:cs="FreeSerif"/>
          <w:sz w:val="28"/>
        </w:rPr>
        <w:t xml:space="preserve">муниципального округа, начальник</w:t>
      </w:r>
      <w:r>
        <w:rPr>
          <w:rFonts w:ascii="FreeSerif" w:hAnsi="FreeSerif" w:cs="FreeSerif"/>
          <w:sz w:val="28"/>
        </w:rPr>
      </w:r>
      <w:r>
        <w:rPr>
          <w:rFonts w:ascii="FreeSerif" w:hAnsi="FreeSerif" w:cs="FreeSerif"/>
          <w:sz w:val="28"/>
        </w:rPr>
      </w:r>
    </w:p>
    <w:p>
      <w:pPr>
        <w:contextualSpacing/>
        <w:spacing w:line="240" w:lineRule="auto"/>
        <w:rPr>
          <w:rFonts w:ascii="FreeSerif" w:hAnsi="FreeSerif" w:cs="FreeSerif"/>
          <w:sz w:val="28"/>
        </w:rPr>
      </w:pPr>
      <w:r>
        <w:rPr>
          <w:rFonts w:ascii="FreeSerif" w:hAnsi="FreeSerif" w:eastAsia="FreeSerif" w:cs="FreeSerif"/>
          <w:sz w:val="28"/>
        </w:rPr>
        <w:t xml:space="preserve">финансового управления администрации</w:t>
      </w:r>
      <w:r>
        <w:rPr>
          <w:rFonts w:ascii="FreeSerif" w:hAnsi="FreeSerif" w:eastAsia="FreeSerif" w:cs="FreeSerif"/>
          <w:sz w:val="28"/>
        </w:rPr>
        <w:tab/>
        <w:t xml:space="preserve">                                </w:t>
      </w:r>
      <w:r>
        <w:rPr>
          <w:rFonts w:ascii="FreeSerif" w:hAnsi="FreeSerif" w:eastAsia="FreeSerif" w:cs="FreeSerif"/>
          <w:sz w:val="28"/>
        </w:rPr>
        <w:t xml:space="preserve"> </w:t>
      </w:r>
      <w:r>
        <w:rPr>
          <w:rFonts w:ascii="FreeSerif" w:hAnsi="FreeSerif" w:eastAsia="FreeSerif" w:cs="FreeSerif"/>
          <w:sz w:val="28"/>
        </w:rPr>
        <w:t xml:space="preserve">           С.В. </w:t>
      </w:r>
      <w:r>
        <w:rPr>
          <w:rFonts w:ascii="FreeSerif" w:hAnsi="FreeSerif" w:eastAsia="FreeSerif" w:cs="FreeSerif"/>
          <w:sz w:val="28"/>
        </w:rPr>
        <w:t xml:space="preserve">Тертица</w:t>
      </w:r>
      <w:r>
        <w:rPr>
          <w:rFonts w:ascii="FreeSerif" w:hAnsi="FreeSerif" w:cs="FreeSerif"/>
          <w:sz w:val="28"/>
        </w:rPr>
      </w:r>
      <w:r>
        <w:rPr>
          <w:rFonts w:ascii="FreeSerif" w:hAnsi="FreeSerif" w:cs="FreeSerif"/>
          <w:sz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sectPr>
      <w:headerReference w:type="default" r:id="rId8"/>
      <w:headerReference w:type="first" r:id="rId9"/>
      <w:footnotePr/>
      <w:endnotePr/>
      <w:type w:val="nextPage"/>
      <w:pgSz w:w="11906" w:h="16838" w:orient="portrait"/>
      <w:pgMar w:top="709" w:right="567" w:bottom="1134" w:left="1701" w:header="425"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2"/>
      <w:rPr>
        <w:rStyle w:val="854"/>
        <w:sz w:val="28"/>
        <w:szCs w:val="28"/>
      </w:rPr>
      <w:framePr w:wrap="auto" w:vAnchor="text" w:hAnchor="margin" w:xAlign="center" w:y="1"/>
    </w:pPr>
    <w:r>
      <w:rPr>
        <w:rStyle w:val="854"/>
        <w:sz w:val="28"/>
        <w:szCs w:val="28"/>
      </w:rPr>
      <w:fldChar w:fldCharType="begin"/>
    </w:r>
    <w:r>
      <w:rPr>
        <w:rStyle w:val="854"/>
        <w:sz w:val="28"/>
        <w:szCs w:val="28"/>
      </w:rPr>
      <w:instrText xml:space="preserve">PAGE  </w:instrText>
    </w:r>
    <w:r>
      <w:rPr>
        <w:rStyle w:val="854"/>
        <w:sz w:val="28"/>
        <w:szCs w:val="28"/>
      </w:rPr>
      <w:fldChar w:fldCharType="separate"/>
    </w:r>
    <w:r>
      <w:rPr>
        <w:rStyle w:val="854"/>
        <w:sz w:val="28"/>
        <w:szCs w:val="28"/>
      </w:rPr>
      <w:t xml:space="preserve">2</w:t>
    </w:r>
    <w:r>
      <w:rPr>
        <w:rStyle w:val="854"/>
        <w:sz w:val="28"/>
        <w:szCs w:val="28"/>
      </w:rPr>
      <w:fldChar w:fldCharType="end"/>
    </w:r>
    <w:r>
      <w:rPr>
        <w:rStyle w:val="854"/>
        <w:sz w:val="28"/>
        <w:szCs w:val="28"/>
      </w:rPr>
    </w:r>
    <w:r>
      <w:rPr>
        <w:rStyle w:val="854"/>
        <w:sz w:val="28"/>
        <w:szCs w:val="28"/>
      </w:rPr>
    </w:r>
  </w:p>
  <w:p>
    <w:pPr>
      <w:pStyle w:val="852"/>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2"/>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3">
    <w:name w:val="Heading 1"/>
    <w:basedOn w:val="848"/>
    <w:next w:val="848"/>
    <w:link w:val="674"/>
    <w:uiPriority w:val="9"/>
    <w:qFormat/>
    <w:pPr>
      <w:keepLines/>
      <w:keepNext/>
      <w:spacing w:before="480" w:after="200"/>
      <w:outlineLvl w:val="0"/>
    </w:pPr>
    <w:rPr>
      <w:rFonts w:ascii="Arial" w:hAnsi="Arial" w:eastAsia="Arial" w:cs="Arial"/>
      <w:sz w:val="40"/>
      <w:szCs w:val="40"/>
    </w:rPr>
  </w:style>
  <w:style w:type="character" w:styleId="674">
    <w:name w:val="Heading 1 Char"/>
    <w:basedOn w:val="849"/>
    <w:link w:val="673"/>
    <w:uiPriority w:val="9"/>
    <w:rPr>
      <w:rFonts w:ascii="Arial" w:hAnsi="Arial" w:eastAsia="Arial" w:cs="Arial"/>
      <w:sz w:val="40"/>
      <w:szCs w:val="40"/>
    </w:rPr>
  </w:style>
  <w:style w:type="paragraph" w:styleId="675">
    <w:name w:val="Heading 2"/>
    <w:basedOn w:val="848"/>
    <w:next w:val="848"/>
    <w:link w:val="676"/>
    <w:uiPriority w:val="9"/>
    <w:unhideWhenUsed/>
    <w:qFormat/>
    <w:pPr>
      <w:keepLines/>
      <w:keepNext/>
      <w:spacing w:before="360" w:after="200"/>
      <w:outlineLvl w:val="1"/>
    </w:pPr>
    <w:rPr>
      <w:rFonts w:ascii="Arial" w:hAnsi="Arial" w:eastAsia="Arial" w:cs="Arial"/>
      <w:sz w:val="34"/>
    </w:rPr>
  </w:style>
  <w:style w:type="character" w:styleId="676">
    <w:name w:val="Heading 2 Char"/>
    <w:basedOn w:val="849"/>
    <w:link w:val="675"/>
    <w:uiPriority w:val="9"/>
    <w:rPr>
      <w:rFonts w:ascii="Arial" w:hAnsi="Arial" w:eastAsia="Arial" w:cs="Arial"/>
      <w:sz w:val="34"/>
    </w:rPr>
  </w:style>
  <w:style w:type="paragraph" w:styleId="677">
    <w:name w:val="Heading 3"/>
    <w:basedOn w:val="848"/>
    <w:next w:val="848"/>
    <w:link w:val="678"/>
    <w:uiPriority w:val="9"/>
    <w:unhideWhenUsed/>
    <w:qFormat/>
    <w:pPr>
      <w:keepLines/>
      <w:keepNext/>
      <w:spacing w:before="320" w:after="200"/>
      <w:outlineLvl w:val="2"/>
    </w:pPr>
    <w:rPr>
      <w:rFonts w:ascii="Arial" w:hAnsi="Arial" w:eastAsia="Arial" w:cs="Arial"/>
      <w:sz w:val="30"/>
      <w:szCs w:val="30"/>
    </w:rPr>
  </w:style>
  <w:style w:type="character" w:styleId="678">
    <w:name w:val="Heading 3 Char"/>
    <w:basedOn w:val="849"/>
    <w:link w:val="677"/>
    <w:uiPriority w:val="9"/>
    <w:rPr>
      <w:rFonts w:ascii="Arial" w:hAnsi="Arial" w:eastAsia="Arial" w:cs="Arial"/>
      <w:sz w:val="30"/>
      <w:szCs w:val="30"/>
    </w:rPr>
  </w:style>
  <w:style w:type="paragraph" w:styleId="679">
    <w:name w:val="Heading 4"/>
    <w:basedOn w:val="848"/>
    <w:next w:val="848"/>
    <w:link w:val="680"/>
    <w:uiPriority w:val="9"/>
    <w:unhideWhenUsed/>
    <w:qFormat/>
    <w:pPr>
      <w:keepLines/>
      <w:keepNext/>
      <w:spacing w:before="320" w:after="200"/>
      <w:outlineLvl w:val="3"/>
    </w:pPr>
    <w:rPr>
      <w:rFonts w:ascii="Arial" w:hAnsi="Arial" w:eastAsia="Arial" w:cs="Arial"/>
      <w:b/>
      <w:bCs/>
      <w:sz w:val="26"/>
      <w:szCs w:val="26"/>
    </w:rPr>
  </w:style>
  <w:style w:type="character" w:styleId="680">
    <w:name w:val="Heading 4 Char"/>
    <w:basedOn w:val="849"/>
    <w:link w:val="679"/>
    <w:uiPriority w:val="9"/>
    <w:rPr>
      <w:rFonts w:ascii="Arial" w:hAnsi="Arial" w:eastAsia="Arial" w:cs="Arial"/>
      <w:b/>
      <w:bCs/>
      <w:sz w:val="26"/>
      <w:szCs w:val="26"/>
    </w:rPr>
  </w:style>
  <w:style w:type="paragraph" w:styleId="681">
    <w:name w:val="Heading 5"/>
    <w:basedOn w:val="848"/>
    <w:next w:val="848"/>
    <w:link w:val="682"/>
    <w:uiPriority w:val="9"/>
    <w:unhideWhenUsed/>
    <w:qFormat/>
    <w:pPr>
      <w:keepLines/>
      <w:keepNext/>
      <w:spacing w:before="320" w:after="200"/>
      <w:outlineLvl w:val="4"/>
    </w:pPr>
    <w:rPr>
      <w:rFonts w:ascii="Arial" w:hAnsi="Arial" w:eastAsia="Arial" w:cs="Arial"/>
      <w:b/>
      <w:bCs/>
      <w:sz w:val="24"/>
      <w:szCs w:val="24"/>
    </w:rPr>
  </w:style>
  <w:style w:type="character" w:styleId="682">
    <w:name w:val="Heading 5 Char"/>
    <w:basedOn w:val="849"/>
    <w:link w:val="681"/>
    <w:uiPriority w:val="9"/>
    <w:rPr>
      <w:rFonts w:ascii="Arial" w:hAnsi="Arial" w:eastAsia="Arial" w:cs="Arial"/>
      <w:b/>
      <w:bCs/>
      <w:sz w:val="24"/>
      <w:szCs w:val="24"/>
    </w:rPr>
  </w:style>
  <w:style w:type="paragraph" w:styleId="683">
    <w:name w:val="Heading 6"/>
    <w:basedOn w:val="848"/>
    <w:next w:val="848"/>
    <w:link w:val="684"/>
    <w:uiPriority w:val="9"/>
    <w:unhideWhenUsed/>
    <w:qFormat/>
    <w:pPr>
      <w:keepLines/>
      <w:keepNext/>
      <w:spacing w:before="320" w:after="200"/>
      <w:outlineLvl w:val="5"/>
    </w:pPr>
    <w:rPr>
      <w:rFonts w:ascii="Arial" w:hAnsi="Arial" w:eastAsia="Arial" w:cs="Arial"/>
      <w:b/>
      <w:bCs/>
      <w:sz w:val="22"/>
      <w:szCs w:val="22"/>
    </w:rPr>
  </w:style>
  <w:style w:type="character" w:styleId="684">
    <w:name w:val="Heading 6 Char"/>
    <w:basedOn w:val="849"/>
    <w:link w:val="683"/>
    <w:uiPriority w:val="9"/>
    <w:rPr>
      <w:rFonts w:ascii="Arial" w:hAnsi="Arial" w:eastAsia="Arial" w:cs="Arial"/>
      <w:b/>
      <w:bCs/>
      <w:sz w:val="22"/>
      <w:szCs w:val="22"/>
    </w:rPr>
  </w:style>
  <w:style w:type="paragraph" w:styleId="685">
    <w:name w:val="Heading 7"/>
    <w:basedOn w:val="848"/>
    <w:next w:val="848"/>
    <w:link w:val="686"/>
    <w:uiPriority w:val="9"/>
    <w:unhideWhenUsed/>
    <w:qFormat/>
    <w:pPr>
      <w:keepLines/>
      <w:keepNext/>
      <w:spacing w:before="320" w:after="200"/>
      <w:outlineLvl w:val="6"/>
    </w:pPr>
    <w:rPr>
      <w:rFonts w:ascii="Arial" w:hAnsi="Arial" w:eastAsia="Arial" w:cs="Arial"/>
      <w:b/>
      <w:bCs/>
      <w:i/>
      <w:iCs/>
      <w:sz w:val="22"/>
      <w:szCs w:val="22"/>
    </w:rPr>
  </w:style>
  <w:style w:type="character" w:styleId="686">
    <w:name w:val="Heading 7 Char"/>
    <w:basedOn w:val="849"/>
    <w:link w:val="685"/>
    <w:uiPriority w:val="9"/>
    <w:rPr>
      <w:rFonts w:ascii="Arial" w:hAnsi="Arial" w:eastAsia="Arial" w:cs="Arial"/>
      <w:b/>
      <w:bCs/>
      <w:i/>
      <w:iCs/>
      <w:sz w:val="22"/>
      <w:szCs w:val="22"/>
    </w:rPr>
  </w:style>
  <w:style w:type="paragraph" w:styleId="687">
    <w:name w:val="Heading 8"/>
    <w:basedOn w:val="848"/>
    <w:next w:val="848"/>
    <w:link w:val="688"/>
    <w:uiPriority w:val="9"/>
    <w:unhideWhenUsed/>
    <w:qFormat/>
    <w:pPr>
      <w:keepLines/>
      <w:keepNext/>
      <w:spacing w:before="320" w:after="200"/>
      <w:outlineLvl w:val="7"/>
    </w:pPr>
    <w:rPr>
      <w:rFonts w:ascii="Arial" w:hAnsi="Arial" w:eastAsia="Arial" w:cs="Arial"/>
      <w:i/>
      <w:iCs/>
      <w:sz w:val="22"/>
      <w:szCs w:val="22"/>
    </w:rPr>
  </w:style>
  <w:style w:type="character" w:styleId="688">
    <w:name w:val="Heading 8 Char"/>
    <w:basedOn w:val="849"/>
    <w:link w:val="687"/>
    <w:uiPriority w:val="9"/>
    <w:rPr>
      <w:rFonts w:ascii="Arial" w:hAnsi="Arial" w:eastAsia="Arial" w:cs="Arial"/>
      <w:i/>
      <w:iCs/>
      <w:sz w:val="22"/>
      <w:szCs w:val="22"/>
    </w:rPr>
  </w:style>
  <w:style w:type="paragraph" w:styleId="689">
    <w:name w:val="Heading 9"/>
    <w:basedOn w:val="848"/>
    <w:next w:val="848"/>
    <w:link w:val="690"/>
    <w:uiPriority w:val="9"/>
    <w:unhideWhenUsed/>
    <w:qFormat/>
    <w:pPr>
      <w:keepLines/>
      <w:keepNext/>
      <w:spacing w:before="320" w:after="200"/>
      <w:outlineLvl w:val="8"/>
    </w:pPr>
    <w:rPr>
      <w:rFonts w:ascii="Arial" w:hAnsi="Arial" w:eastAsia="Arial" w:cs="Arial"/>
      <w:i/>
      <w:iCs/>
      <w:sz w:val="21"/>
      <w:szCs w:val="21"/>
    </w:rPr>
  </w:style>
  <w:style w:type="character" w:styleId="690">
    <w:name w:val="Heading 9 Char"/>
    <w:basedOn w:val="849"/>
    <w:link w:val="689"/>
    <w:uiPriority w:val="9"/>
    <w:rPr>
      <w:rFonts w:ascii="Arial" w:hAnsi="Arial" w:eastAsia="Arial" w:cs="Arial"/>
      <w:i/>
      <w:iCs/>
      <w:sz w:val="21"/>
      <w:szCs w:val="21"/>
    </w:rPr>
  </w:style>
  <w:style w:type="paragraph" w:styleId="691">
    <w:name w:val="List Paragraph"/>
    <w:basedOn w:val="848"/>
    <w:uiPriority w:val="34"/>
    <w:qFormat/>
    <w:pPr>
      <w:contextualSpacing/>
      <w:ind w:left="720"/>
    </w:pPr>
  </w:style>
  <w:style w:type="paragraph" w:styleId="692">
    <w:name w:val="No Spacing"/>
    <w:uiPriority w:val="1"/>
    <w:qFormat/>
    <w:pPr>
      <w:spacing w:before="0" w:after="0" w:line="240" w:lineRule="auto"/>
    </w:pPr>
  </w:style>
  <w:style w:type="paragraph" w:styleId="693">
    <w:name w:val="Title"/>
    <w:basedOn w:val="848"/>
    <w:next w:val="848"/>
    <w:link w:val="694"/>
    <w:uiPriority w:val="10"/>
    <w:qFormat/>
    <w:pPr>
      <w:contextualSpacing/>
      <w:spacing w:before="300" w:after="200"/>
    </w:pPr>
    <w:rPr>
      <w:sz w:val="48"/>
      <w:szCs w:val="48"/>
    </w:rPr>
  </w:style>
  <w:style w:type="character" w:styleId="694">
    <w:name w:val="Title Char"/>
    <w:basedOn w:val="849"/>
    <w:link w:val="693"/>
    <w:uiPriority w:val="10"/>
    <w:rPr>
      <w:sz w:val="48"/>
      <w:szCs w:val="48"/>
    </w:rPr>
  </w:style>
  <w:style w:type="paragraph" w:styleId="695">
    <w:name w:val="Subtitle"/>
    <w:basedOn w:val="848"/>
    <w:next w:val="848"/>
    <w:link w:val="696"/>
    <w:uiPriority w:val="11"/>
    <w:qFormat/>
    <w:pPr>
      <w:spacing w:before="200" w:after="200"/>
    </w:pPr>
    <w:rPr>
      <w:sz w:val="24"/>
      <w:szCs w:val="24"/>
    </w:rPr>
  </w:style>
  <w:style w:type="character" w:styleId="696">
    <w:name w:val="Subtitle Char"/>
    <w:basedOn w:val="849"/>
    <w:link w:val="695"/>
    <w:uiPriority w:val="11"/>
    <w:rPr>
      <w:sz w:val="24"/>
      <w:szCs w:val="24"/>
    </w:rPr>
  </w:style>
  <w:style w:type="paragraph" w:styleId="697">
    <w:name w:val="Quote"/>
    <w:basedOn w:val="848"/>
    <w:next w:val="848"/>
    <w:link w:val="698"/>
    <w:uiPriority w:val="29"/>
    <w:qFormat/>
    <w:pPr>
      <w:ind w:left="720" w:right="720"/>
    </w:pPr>
    <w:rPr>
      <w:i/>
    </w:rPr>
  </w:style>
  <w:style w:type="character" w:styleId="698">
    <w:name w:val="Quote Char"/>
    <w:link w:val="697"/>
    <w:uiPriority w:val="29"/>
    <w:rPr>
      <w:i/>
    </w:rPr>
  </w:style>
  <w:style w:type="paragraph" w:styleId="699">
    <w:name w:val="Intense Quote"/>
    <w:basedOn w:val="848"/>
    <w:next w:val="848"/>
    <w:link w:val="70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0">
    <w:name w:val="Intense Quote Char"/>
    <w:link w:val="699"/>
    <w:uiPriority w:val="30"/>
    <w:rPr>
      <w:i/>
    </w:rPr>
  </w:style>
  <w:style w:type="character" w:styleId="701">
    <w:name w:val="Header Char"/>
    <w:basedOn w:val="849"/>
    <w:link w:val="852"/>
    <w:uiPriority w:val="99"/>
  </w:style>
  <w:style w:type="character" w:styleId="702">
    <w:name w:val="Footer Char"/>
    <w:basedOn w:val="849"/>
    <w:link w:val="863"/>
    <w:uiPriority w:val="99"/>
  </w:style>
  <w:style w:type="paragraph" w:styleId="703">
    <w:name w:val="Caption"/>
    <w:basedOn w:val="848"/>
    <w:next w:val="848"/>
    <w:uiPriority w:val="35"/>
    <w:semiHidden/>
    <w:unhideWhenUsed/>
    <w:qFormat/>
    <w:pPr>
      <w:spacing w:line="276" w:lineRule="auto"/>
    </w:pPr>
    <w:rPr>
      <w:b/>
      <w:bCs/>
      <w:color w:val="4f81bd" w:themeColor="accent1"/>
      <w:sz w:val="18"/>
      <w:szCs w:val="18"/>
    </w:rPr>
  </w:style>
  <w:style w:type="character" w:styleId="704">
    <w:name w:val="Caption Char"/>
    <w:basedOn w:val="703"/>
    <w:link w:val="863"/>
    <w:uiPriority w:val="99"/>
  </w:style>
  <w:style w:type="table" w:styleId="705">
    <w:name w:val="Table Grid Light"/>
    <w:basedOn w:val="85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6">
    <w:name w:val="Plain Table 1"/>
    <w:basedOn w:val="85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7">
    <w:name w:val="Plain Table 2"/>
    <w:basedOn w:val="85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8">
    <w:name w:val="Plain Table 3"/>
    <w:basedOn w:val="8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9">
    <w:name w:val="Plain Table 4"/>
    <w:basedOn w:val="8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0">
    <w:name w:val="Plain Table 5"/>
    <w:basedOn w:val="8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1">
    <w:name w:val="Grid Table 1 Light"/>
    <w:basedOn w:val="85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2">
    <w:name w:val="Grid Table 1 Light - Accent 1"/>
    <w:basedOn w:val="85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3">
    <w:name w:val="Grid Table 1 Light - Accent 2"/>
    <w:basedOn w:val="85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4">
    <w:name w:val="Grid Table 1 Light - Accent 3"/>
    <w:basedOn w:val="85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5">
    <w:name w:val="Grid Table 1 Light - Accent 4"/>
    <w:basedOn w:val="85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6">
    <w:name w:val="Grid Table 1 Light - Accent 5"/>
    <w:basedOn w:val="85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7">
    <w:name w:val="Grid Table 1 Light - Accent 6"/>
    <w:basedOn w:val="85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8">
    <w:name w:val="Grid Table 2"/>
    <w:basedOn w:val="85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9">
    <w:name w:val="Grid Table 2 - Accent 1"/>
    <w:basedOn w:val="85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0">
    <w:name w:val="Grid Table 2 - Accent 2"/>
    <w:basedOn w:val="85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1">
    <w:name w:val="Grid Table 2 - Accent 3"/>
    <w:basedOn w:val="85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2">
    <w:name w:val="Grid Table 2 - Accent 4"/>
    <w:basedOn w:val="85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3">
    <w:name w:val="Grid Table 2 - Accent 5"/>
    <w:basedOn w:val="85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4">
    <w:name w:val="Grid Table 2 - Accent 6"/>
    <w:basedOn w:val="85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5">
    <w:name w:val="Grid Table 3"/>
    <w:basedOn w:val="85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1"/>
    <w:basedOn w:val="85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2"/>
    <w:basedOn w:val="85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3"/>
    <w:basedOn w:val="85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4"/>
    <w:basedOn w:val="85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5"/>
    <w:basedOn w:val="85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6"/>
    <w:basedOn w:val="85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4"/>
    <w:basedOn w:val="85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3">
    <w:name w:val="Grid Table 4 - Accent 1"/>
    <w:basedOn w:val="85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4">
    <w:name w:val="Grid Table 4 - Accent 2"/>
    <w:basedOn w:val="85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5">
    <w:name w:val="Grid Table 4 - Accent 3"/>
    <w:basedOn w:val="85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6">
    <w:name w:val="Grid Table 4 - Accent 4"/>
    <w:basedOn w:val="85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7">
    <w:name w:val="Grid Table 4 - Accent 5"/>
    <w:basedOn w:val="85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8">
    <w:name w:val="Grid Table 4 - Accent 6"/>
    <w:basedOn w:val="85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9">
    <w:name w:val="Grid Table 5 Dark"/>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0">
    <w:name w:val="Grid Table 5 Dark- Accent 1"/>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1">
    <w:name w:val="Grid Table 5 Dark - Accent 2"/>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2">
    <w:name w:val="Grid Table 5 Dark - Accent 3"/>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3">
    <w:name w:val="Grid Table 5 Dark- Accent 4"/>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4">
    <w:name w:val="Grid Table 5 Dark - Accent 5"/>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5">
    <w:name w:val="Grid Table 5 Dark - Accent 6"/>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6">
    <w:name w:val="Grid Table 6 Colorful"/>
    <w:basedOn w:val="85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7">
    <w:name w:val="Grid Table 6 Colorful - Accent 1"/>
    <w:basedOn w:val="85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8">
    <w:name w:val="Grid Table 6 Colorful - Accent 2"/>
    <w:basedOn w:val="85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9">
    <w:name w:val="Grid Table 6 Colorful - Accent 3"/>
    <w:basedOn w:val="85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0">
    <w:name w:val="Grid Table 6 Colorful - Accent 4"/>
    <w:basedOn w:val="85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1">
    <w:name w:val="Grid Table 6 Colorful - Accent 5"/>
    <w:basedOn w:val="85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2">
    <w:name w:val="Grid Table 6 Colorful - Accent 6"/>
    <w:basedOn w:val="85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3">
    <w:name w:val="Grid Table 7 Colorful"/>
    <w:basedOn w:val="85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4">
    <w:name w:val="Grid Table 7 Colorful - Accent 1"/>
    <w:basedOn w:val="85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5">
    <w:name w:val="Grid Table 7 Colorful - Accent 2"/>
    <w:basedOn w:val="85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6">
    <w:name w:val="Grid Table 7 Colorful - Accent 3"/>
    <w:basedOn w:val="85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7">
    <w:name w:val="Grid Table 7 Colorful - Accent 4"/>
    <w:basedOn w:val="85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8">
    <w:name w:val="Grid Table 7 Colorful - Accent 5"/>
    <w:basedOn w:val="85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9">
    <w:name w:val="Grid Table 7 Colorful - Accent 6"/>
    <w:basedOn w:val="85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0">
    <w:name w:val="List Table 1 Light"/>
    <w:basedOn w:val="85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1">
    <w:name w:val="List Table 1 Light - Accent 1"/>
    <w:basedOn w:val="85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2">
    <w:name w:val="List Table 1 Light - Accent 2"/>
    <w:basedOn w:val="85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3">
    <w:name w:val="List Table 1 Light - Accent 3"/>
    <w:basedOn w:val="85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4">
    <w:name w:val="List Table 1 Light - Accent 4"/>
    <w:basedOn w:val="85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5">
    <w:name w:val="List Table 1 Light - Accent 5"/>
    <w:basedOn w:val="85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6">
    <w:name w:val="List Table 1 Light - Accent 6"/>
    <w:basedOn w:val="85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7">
    <w:name w:val="List Table 2"/>
    <w:basedOn w:val="85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8">
    <w:name w:val="List Table 2 - Accent 1"/>
    <w:basedOn w:val="85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9">
    <w:name w:val="List Table 2 - Accent 2"/>
    <w:basedOn w:val="85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0">
    <w:name w:val="List Table 2 - Accent 3"/>
    <w:basedOn w:val="85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1">
    <w:name w:val="List Table 2 - Accent 4"/>
    <w:basedOn w:val="85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2">
    <w:name w:val="List Table 2 - Accent 5"/>
    <w:basedOn w:val="85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3">
    <w:name w:val="List Table 2 - Accent 6"/>
    <w:basedOn w:val="85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4">
    <w:name w:val="List Table 3"/>
    <w:basedOn w:val="85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5">
    <w:name w:val="List Table 3 - Accent 1"/>
    <w:basedOn w:val="85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6">
    <w:name w:val="List Table 3 - Accent 2"/>
    <w:basedOn w:val="85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7">
    <w:name w:val="List Table 3 - Accent 3"/>
    <w:basedOn w:val="85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8">
    <w:name w:val="List Table 3 - Accent 4"/>
    <w:basedOn w:val="85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9">
    <w:name w:val="List Table 3 - Accent 5"/>
    <w:basedOn w:val="85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0">
    <w:name w:val="List Table 3 - Accent 6"/>
    <w:basedOn w:val="85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1">
    <w:name w:val="List Table 4"/>
    <w:basedOn w:val="85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2">
    <w:name w:val="List Table 4 - Accent 1"/>
    <w:basedOn w:val="85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3">
    <w:name w:val="List Table 4 - Accent 2"/>
    <w:basedOn w:val="85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4">
    <w:name w:val="List Table 4 - Accent 3"/>
    <w:basedOn w:val="85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5">
    <w:name w:val="List Table 4 - Accent 4"/>
    <w:basedOn w:val="85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6">
    <w:name w:val="List Table 4 - Accent 5"/>
    <w:basedOn w:val="85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7">
    <w:name w:val="List Table 4 - Accent 6"/>
    <w:basedOn w:val="85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8">
    <w:name w:val="List Table 5 Dark"/>
    <w:basedOn w:val="85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1"/>
    <w:basedOn w:val="85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2"/>
    <w:basedOn w:val="85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3"/>
    <w:basedOn w:val="85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4"/>
    <w:basedOn w:val="85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5"/>
    <w:basedOn w:val="85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6"/>
    <w:basedOn w:val="85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6 Colorful"/>
    <w:basedOn w:val="85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6">
    <w:name w:val="List Table 6 Colorful - Accent 1"/>
    <w:basedOn w:val="85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7">
    <w:name w:val="List Table 6 Colorful - Accent 2"/>
    <w:basedOn w:val="85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8">
    <w:name w:val="List Table 6 Colorful - Accent 3"/>
    <w:basedOn w:val="85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9">
    <w:name w:val="List Table 6 Colorful - Accent 4"/>
    <w:basedOn w:val="85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0">
    <w:name w:val="List Table 6 Colorful - Accent 5"/>
    <w:basedOn w:val="85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1">
    <w:name w:val="List Table 6 Colorful - Accent 6"/>
    <w:basedOn w:val="85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2">
    <w:name w:val="List Table 7 Colorful"/>
    <w:basedOn w:val="85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3">
    <w:name w:val="List Table 7 Colorful - Accent 1"/>
    <w:basedOn w:val="85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4">
    <w:name w:val="List Table 7 Colorful - Accent 2"/>
    <w:basedOn w:val="85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5">
    <w:name w:val="List Table 7 Colorful - Accent 3"/>
    <w:basedOn w:val="85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6">
    <w:name w:val="List Table 7 Colorful - Accent 4"/>
    <w:basedOn w:val="85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7">
    <w:name w:val="List Table 7 Colorful - Accent 5"/>
    <w:basedOn w:val="85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8">
    <w:name w:val="List Table 7 Colorful - Accent 6"/>
    <w:basedOn w:val="85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9">
    <w:name w:val="Lined - Accent"/>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0">
    <w:name w:val="Lined - Accent 1"/>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1">
    <w:name w:val="Lined - Accent 2"/>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2">
    <w:name w:val="Lined - Accent 3"/>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3">
    <w:name w:val="Lined - Accent 4"/>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4">
    <w:name w:val="Lined - Accent 5"/>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5">
    <w:name w:val="Lined - Accent 6"/>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6">
    <w:name w:val="Bordered &amp; Lined - Accent"/>
    <w:basedOn w:val="85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7">
    <w:name w:val="Bordered &amp; Lined - Accent 1"/>
    <w:basedOn w:val="85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8">
    <w:name w:val="Bordered &amp; Lined - Accent 2"/>
    <w:basedOn w:val="85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9">
    <w:name w:val="Bordered &amp; Lined - Accent 3"/>
    <w:basedOn w:val="85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0">
    <w:name w:val="Bordered &amp; Lined - Accent 4"/>
    <w:basedOn w:val="85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1">
    <w:name w:val="Bordered &amp; Lined - Accent 5"/>
    <w:basedOn w:val="85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2">
    <w:name w:val="Bordered &amp; Lined - Accent 6"/>
    <w:basedOn w:val="85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3">
    <w:name w:val="Bordered"/>
    <w:basedOn w:val="85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4">
    <w:name w:val="Bordered - Accent 1"/>
    <w:basedOn w:val="85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5">
    <w:name w:val="Bordered - Accent 2"/>
    <w:basedOn w:val="85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6">
    <w:name w:val="Bordered - Accent 3"/>
    <w:basedOn w:val="85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7">
    <w:name w:val="Bordered - Accent 4"/>
    <w:basedOn w:val="85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8">
    <w:name w:val="Bordered - Accent 5"/>
    <w:basedOn w:val="85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9">
    <w:name w:val="Bordered - Accent 6"/>
    <w:basedOn w:val="85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0">
    <w:name w:val="Hyperlink"/>
    <w:uiPriority w:val="99"/>
    <w:unhideWhenUsed/>
    <w:rPr>
      <w:color w:val="0000ff" w:themeColor="hyperlink"/>
      <w:u w:val="single"/>
    </w:rPr>
  </w:style>
  <w:style w:type="paragraph" w:styleId="831">
    <w:name w:val="footnote text"/>
    <w:basedOn w:val="848"/>
    <w:link w:val="832"/>
    <w:uiPriority w:val="99"/>
    <w:semiHidden/>
    <w:unhideWhenUsed/>
    <w:pPr>
      <w:spacing w:after="40" w:line="240" w:lineRule="auto"/>
    </w:pPr>
    <w:rPr>
      <w:sz w:val="18"/>
    </w:rPr>
  </w:style>
  <w:style w:type="character" w:styleId="832">
    <w:name w:val="Footnote Text Char"/>
    <w:link w:val="831"/>
    <w:uiPriority w:val="99"/>
    <w:rPr>
      <w:sz w:val="18"/>
    </w:rPr>
  </w:style>
  <w:style w:type="character" w:styleId="833">
    <w:name w:val="footnote reference"/>
    <w:basedOn w:val="849"/>
    <w:uiPriority w:val="99"/>
    <w:unhideWhenUsed/>
    <w:rPr>
      <w:vertAlign w:val="superscript"/>
    </w:rPr>
  </w:style>
  <w:style w:type="paragraph" w:styleId="834">
    <w:name w:val="endnote text"/>
    <w:basedOn w:val="848"/>
    <w:link w:val="835"/>
    <w:uiPriority w:val="99"/>
    <w:semiHidden/>
    <w:unhideWhenUsed/>
    <w:pPr>
      <w:spacing w:after="0" w:line="240" w:lineRule="auto"/>
    </w:pPr>
    <w:rPr>
      <w:sz w:val="20"/>
    </w:rPr>
  </w:style>
  <w:style w:type="character" w:styleId="835">
    <w:name w:val="Endnote Text Char"/>
    <w:link w:val="834"/>
    <w:uiPriority w:val="99"/>
    <w:rPr>
      <w:sz w:val="20"/>
    </w:rPr>
  </w:style>
  <w:style w:type="character" w:styleId="836">
    <w:name w:val="endnote reference"/>
    <w:basedOn w:val="849"/>
    <w:uiPriority w:val="99"/>
    <w:semiHidden/>
    <w:unhideWhenUsed/>
    <w:rPr>
      <w:vertAlign w:val="superscript"/>
    </w:rPr>
  </w:style>
  <w:style w:type="paragraph" w:styleId="837">
    <w:name w:val="toc 1"/>
    <w:basedOn w:val="848"/>
    <w:next w:val="848"/>
    <w:uiPriority w:val="39"/>
    <w:unhideWhenUsed/>
    <w:pPr>
      <w:ind w:left="0" w:right="0" w:firstLine="0"/>
      <w:spacing w:after="57"/>
    </w:pPr>
  </w:style>
  <w:style w:type="paragraph" w:styleId="838">
    <w:name w:val="toc 2"/>
    <w:basedOn w:val="848"/>
    <w:next w:val="848"/>
    <w:uiPriority w:val="39"/>
    <w:unhideWhenUsed/>
    <w:pPr>
      <w:ind w:left="283" w:right="0" w:firstLine="0"/>
      <w:spacing w:after="57"/>
    </w:pPr>
  </w:style>
  <w:style w:type="paragraph" w:styleId="839">
    <w:name w:val="toc 3"/>
    <w:basedOn w:val="848"/>
    <w:next w:val="848"/>
    <w:uiPriority w:val="39"/>
    <w:unhideWhenUsed/>
    <w:pPr>
      <w:ind w:left="567" w:right="0" w:firstLine="0"/>
      <w:spacing w:after="57"/>
    </w:pPr>
  </w:style>
  <w:style w:type="paragraph" w:styleId="840">
    <w:name w:val="toc 4"/>
    <w:basedOn w:val="848"/>
    <w:next w:val="848"/>
    <w:uiPriority w:val="39"/>
    <w:unhideWhenUsed/>
    <w:pPr>
      <w:ind w:left="850" w:right="0" w:firstLine="0"/>
      <w:spacing w:after="57"/>
    </w:pPr>
  </w:style>
  <w:style w:type="paragraph" w:styleId="841">
    <w:name w:val="toc 5"/>
    <w:basedOn w:val="848"/>
    <w:next w:val="848"/>
    <w:uiPriority w:val="39"/>
    <w:unhideWhenUsed/>
    <w:pPr>
      <w:ind w:left="1134" w:right="0" w:firstLine="0"/>
      <w:spacing w:after="57"/>
    </w:pPr>
  </w:style>
  <w:style w:type="paragraph" w:styleId="842">
    <w:name w:val="toc 6"/>
    <w:basedOn w:val="848"/>
    <w:next w:val="848"/>
    <w:uiPriority w:val="39"/>
    <w:unhideWhenUsed/>
    <w:pPr>
      <w:ind w:left="1417" w:right="0" w:firstLine="0"/>
      <w:spacing w:after="57"/>
    </w:pPr>
  </w:style>
  <w:style w:type="paragraph" w:styleId="843">
    <w:name w:val="toc 7"/>
    <w:basedOn w:val="848"/>
    <w:next w:val="848"/>
    <w:uiPriority w:val="39"/>
    <w:unhideWhenUsed/>
    <w:pPr>
      <w:ind w:left="1701" w:right="0" w:firstLine="0"/>
      <w:spacing w:after="57"/>
    </w:pPr>
  </w:style>
  <w:style w:type="paragraph" w:styleId="844">
    <w:name w:val="toc 8"/>
    <w:basedOn w:val="848"/>
    <w:next w:val="848"/>
    <w:uiPriority w:val="39"/>
    <w:unhideWhenUsed/>
    <w:pPr>
      <w:ind w:left="1984" w:right="0" w:firstLine="0"/>
      <w:spacing w:after="57"/>
    </w:pPr>
  </w:style>
  <w:style w:type="paragraph" w:styleId="845">
    <w:name w:val="toc 9"/>
    <w:basedOn w:val="848"/>
    <w:next w:val="848"/>
    <w:uiPriority w:val="39"/>
    <w:unhideWhenUsed/>
    <w:pPr>
      <w:ind w:left="2268" w:right="0" w:firstLine="0"/>
      <w:spacing w:after="57"/>
    </w:pPr>
  </w:style>
  <w:style w:type="paragraph" w:styleId="846">
    <w:name w:val="TOC Heading"/>
    <w:uiPriority w:val="39"/>
    <w:unhideWhenUsed/>
  </w:style>
  <w:style w:type="paragraph" w:styleId="847">
    <w:name w:val="table of figures"/>
    <w:basedOn w:val="848"/>
    <w:next w:val="848"/>
    <w:uiPriority w:val="99"/>
    <w:unhideWhenUsed/>
    <w:pPr>
      <w:spacing w:after="0" w:afterAutospacing="0"/>
    </w:pPr>
  </w:style>
  <w:style w:type="paragraph" w:styleId="848" w:default="1">
    <w:name w:val="Normal"/>
    <w:qFormat/>
    <w:rPr>
      <w:sz w:val="16"/>
      <w:szCs w:val="16"/>
    </w:rPr>
  </w:style>
  <w:style w:type="character" w:styleId="849" w:default="1">
    <w:name w:val="Default Paragraph Font"/>
    <w:uiPriority w:val="1"/>
    <w:semiHidden/>
    <w:unhideWhenUsed/>
  </w:style>
  <w:style w:type="table" w:styleId="850" w:default="1">
    <w:name w:val="Normal Table"/>
    <w:uiPriority w:val="99"/>
    <w:semiHidden/>
    <w:unhideWhenUsed/>
    <w:tblPr>
      <w:tblInd w:w="0" w:type="dxa"/>
      <w:tblCellMar>
        <w:left w:w="108" w:type="dxa"/>
        <w:top w:w="0" w:type="dxa"/>
        <w:right w:w="108" w:type="dxa"/>
        <w:bottom w:w="0" w:type="dxa"/>
      </w:tblCellMar>
    </w:tblPr>
  </w:style>
  <w:style w:type="numbering" w:styleId="851" w:default="1">
    <w:name w:val="No List"/>
    <w:uiPriority w:val="99"/>
    <w:semiHidden/>
    <w:unhideWhenUsed/>
  </w:style>
  <w:style w:type="paragraph" w:styleId="852">
    <w:name w:val="Header"/>
    <w:basedOn w:val="848"/>
    <w:link w:val="853"/>
    <w:uiPriority w:val="99"/>
    <w:pPr>
      <w:tabs>
        <w:tab w:val="center" w:pos="4677" w:leader="none"/>
        <w:tab w:val="right" w:pos="9355" w:leader="none"/>
      </w:tabs>
    </w:pPr>
  </w:style>
  <w:style w:type="character" w:styleId="853" w:customStyle="1">
    <w:name w:val="Верхний колонтитул Знак"/>
    <w:link w:val="852"/>
    <w:uiPriority w:val="99"/>
    <w:semiHidden/>
    <w:rPr>
      <w:sz w:val="16"/>
      <w:szCs w:val="16"/>
    </w:rPr>
  </w:style>
  <w:style w:type="character" w:styleId="854">
    <w:name w:val="page number"/>
    <w:basedOn w:val="849"/>
    <w:uiPriority w:val="99"/>
  </w:style>
  <w:style w:type="paragraph" w:styleId="855" w:customStyle="1">
    <w:name w:val="Знак"/>
    <w:basedOn w:val="848"/>
    <w:uiPriority w:val="99"/>
    <w:pPr>
      <w:spacing w:before="100" w:beforeAutospacing="1" w:after="100" w:afterAutospacing="1"/>
    </w:pPr>
    <w:rPr>
      <w:rFonts w:ascii="Tahoma" w:hAnsi="Tahoma" w:cs="Tahoma"/>
      <w:sz w:val="20"/>
      <w:szCs w:val="20"/>
      <w:lang w:val="en-US" w:eastAsia="en-US"/>
    </w:rPr>
  </w:style>
  <w:style w:type="paragraph" w:styleId="856">
    <w:name w:val="Balloon Text"/>
    <w:basedOn w:val="848"/>
    <w:link w:val="857"/>
    <w:uiPriority w:val="99"/>
    <w:semiHidden/>
    <w:rPr>
      <w:rFonts w:ascii="Tahoma" w:hAnsi="Tahoma" w:cs="Tahoma"/>
    </w:rPr>
  </w:style>
  <w:style w:type="character" w:styleId="857" w:customStyle="1">
    <w:name w:val="Текст выноски Знак"/>
    <w:link w:val="856"/>
    <w:uiPriority w:val="99"/>
    <w:semiHidden/>
    <w:rPr>
      <w:sz w:val="2"/>
      <w:szCs w:val="2"/>
    </w:rPr>
  </w:style>
  <w:style w:type="paragraph" w:styleId="858" w:customStyle="1">
    <w:name w:val="Знак Знак2 Char Char Знак Знак Char Char Знак Знак Char Char Знак Знак Char Char Знак Знак Char Char Знак Знак Char Char Знак Знак Char Char Знак Знак Char Char"/>
    <w:basedOn w:val="848"/>
    <w:uiPriority w:val="99"/>
    <w:pPr>
      <w:spacing w:before="100" w:beforeAutospacing="1" w:after="100" w:afterAutospacing="1"/>
    </w:pPr>
    <w:rPr>
      <w:rFonts w:ascii="Tahoma" w:hAnsi="Tahoma" w:cs="Tahoma"/>
      <w:sz w:val="20"/>
      <w:szCs w:val="20"/>
      <w:lang w:val="en-US" w:eastAsia="en-US"/>
    </w:rPr>
  </w:style>
  <w:style w:type="paragraph" w:styleId="859" w:customStyle="1">
    <w:name w:val="Знак1"/>
    <w:basedOn w:val="848"/>
    <w:uiPriority w:val="99"/>
    <w:pPr>
      <w:spacing w:before="100" w:beforeAutospacing="1" w:after="100" w:afterAutospacing="1"/>
    </w:pPr>
    <w:rPr>
      <w:rFonts w:ascii="Tahoma" w:hAnsi="Tahoma" w:cs="Tahoma"/>
      <w:sz w:val="20"/>
      <w:szCs w:val="20"/>
      <w:lang w:val="en-US" w:eastAsia="en-US"/>
    </w:rPr>
  </w:style>
  <w:style w:type="paragraph" w:styleId="860" w:customStyle="1">
    <w:name w:val="Прижатый влево"/>
    <w:basedOn w:val="848"/>
    <w:next w:val="848"/>
    <w:uiPriority w:val="99"/>
    <w:pPr>
      <w:widowControl w:val="off"/>
    </w:pPr>
    <w:rPr>
      <w:rFonts w:ascii="Arial" w:hAnsi="Arial" w:cs="Arial"/>
      <w:sz w:val="24"/>
      <w:szCs w:val="24"/>
    </w:rPr>
  </w:style>
  <w:style w:type="paragraph" w:styleId="861" w:customStyle="1">
    <w:name w:val="Нормальный (таблица)"/>
    <w:basedOn w:val="848"/>
    <w:next w:val="848"/>
    <w:uiPriority w:val="99"/>
    <w:pPr>
      <w:jc w:val="both"/>
      <w:widowControl w:val="off"/>
    </w:pPr>
    <w:rPr>
      <w:rFonts w:ascii="Arial" w:hAnsi="Arial" w:cs="Arial"/>
      <w:sz w:val="24"/>
      <w:szCs w:val="24"/>
    </w:rPr>
  </w:style>
  <w:style w:type="paragraph" w:styleId="862" w:customStyle="1">
    <w:name w:val="Знак Знак Знак Знак"/>
    <w:basedOn w:val="848"/>
    <w:uiPriority w:val="99"/>
    <w:pPr>
      <w:spacing w:before="100" w:beforeAutospacing="1" w:after="100" w:afterAutospacing="1"/>
    </w:pPr>
    <w:rPr>
      <w:rFonts w:ascii="Tahoma" w:hAnsi="Tahoma" w:cs="Tahoma"/>
      <w:sz w:val="20"/>
      <w:szCs w:val="20"/>
      <w:lang w:val="en-US" w:eastAsia="en-US"/>
    </w:rPr>
  </w:style>
  <w:style w:type="paragraph" w:styleId="863">
    <w:name w:val="Footer"/>
    <w:basedOn w:val="848"/>
    <w:link w:val="864"/>
    <w:uiPriority w:val="99"/>
    <w:pPr>
      <w:tabs>
        <w:tab w:val="center" w:pos="4677" w:leader="none"/>
        <w:tab w:val="right" w:pos="9355" w:leader="none"/>
      </w:tabs>
    </w:pPr>
  </w:style>
  <w:style w:type="character" w:styleId="864" w:customStyle="1">
    <w:name w:val="Нижний колонтитул Знак"/>
    <w:link w:val="863"/>
    <w:uiPriority w:val="99"/>
    <w:semiHidden/>
    <w:rPr>
      <w:sz w:val="16"/>
      <w:szCs w:val="16"/>
    </w:rPr>
  </w:style>
  <w:style w:type="table" w:styleId="865">
    <w:name w:val="Table Grid"/>
    <w:basedOn w:val="850"/>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E5C0D-5978-4184-BBC5-73ECCD5CF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11</cp:revision>
  <dcterms:created xsi:type="dcterms:W3CDTF">2022-03-03T08:45:00Z</dcterms:created>
  <dcterms:modified xsi:type="dcterms:W3CDTF">2025-06-30T08:11:06Z</dcterms:modified>
</cp:coreProperties>
</file>