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79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к основным показателям,</w:t>
      </w:r>
      <w:r/>
    </w:p>
    <w:p>
      <w:pPr>
        <w:pStyle w:val="679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представляемым для разработки уточненного прогноза социально- экономического развития Краснодарского края на 202</w:t>
      </w:r>
      <w:r>
        <w:rPr>
          <w:rFonts w:ascii="Times New Roman" w:hAnsi="Times New Roman" w:cs="Times New Roman"/>
          <w:b/>
          <w:sz w:val="28"/>
          <w:szCs w:val="28"/>
        </w:rPr>
        <w:t xml:space="preserve">4 год</w:t>
      </w:r>
      <w:r/>
    </w:p>
    <w:p>
      <w:pPr>
        <w:pStyle w:val="679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плановый период до 202</w:t>
      </w:r>
      <w:r>
        <w:rPr>
          <w:rFonts w:ascii="Times New Roman" w:hAnsi="Times New Roman" w:cs="Times New Roman"/>
          <w:b/>
          <w:sz w:val="28"/>
          <w:szCs w:val="28"/>
        </w:rPr>
        <w:t xml:space="preserve">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/>
    </w:p>
    <w:p>
      <w:pPr>
        <w:pStyle w:val="679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Ленинградский район</w:t>
      </w:r>
      <w:r/>
    </w:p>
    <w:p>
      <w:pPr>
        <w:spacing w:after="0" w:line="240" w:lineRule="auto"/>
        <w:tabs>
          <w:tab w:val="center" w:pos="4790" w:leader="none"/>
        </w:tabs>
        <w:rPr>
          <w:rFonts w:ascii="Times New Roman CYR" w:hAnsi="Times New Roman CYR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 CYR" w:hAnsi="Times New Roman CYR" w:eastAsia="Times New Roman" w:cs="Times New Roman"/>
          <w:b/>
          <w:bCs/>
          <w:sz w:val="28"/>
          <w:szCs w:val="28"/>
          <w:lang w:eastAsia="ru-RU"/>
        </w:rPr>
      </w:r>
      <w:r/>
    </w:p>
    <w:p>
      <w:pPr>
        <w:spacing w:after="0" w:line="240" w:lineRule="auto"/>
        <w:rPr>
          <w:rFonts w:ascii="Times New Roman CYR" w:hAnsi="Times New Roman CYR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 CYR" w:hAnsi="Times New Roman CYR" w:eastAsia="Times New Roman" w:cs="Times New Roman"/>
          <w:b/>
          <w:bCs/>
          <w:sz w:val="28"/>
          <w:szCs w:val="28"/>
          <w:lang w:eastAsia="ru-RU"/>
        </w:rPr>
      </w:r>
      <w:r/>
    </w:p>
    <w:p>
      <w:pPr>
        <w:spacing w:after="0" w:line="240" w:lineRule="auto"/>
        <w:rPr>
          <w:rFonts w:ascii="Times New Roman CYR" w:hAnsi="Times New Roman CYR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 CYR" w:hAnsi="Times New Roman CYR" w:eastAsia="Times New Roman" w:cs="Times New Roman"/>
          <w:b/>
          <w:bCs/>
          <w:sz w:val="28"/>
          <w:szCs w:val="28"/>
          <w:lang w:eastAsia="ru-RU"/>
        </w:rPr>
        <w:t xml:space="preserve">     </w:t>
      </w:r>
      <w:r/>
    </w:p>
    <w:p>
      <w:pPr>
        <w:ind w:firstLine="709"/>
        <w:jc w:val="both"/>
        <w:spacing w:after="0" w:line="240" w:lineRule="auto"/>
        <w:rPr>
          <w:rFonts w:ascii="Times New Roman CYR" w:hAnsi="Times New Roman CYR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целях реализации Закона Кра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снодарского края от 21 октября 2015 г.                   № 3267-КЗ «О стратегическом планировании в Краснодарском крае» и постановления главы администрации (губернатора) Краснодарского края от 23 июля 2015 г. № 699 «О порядке разработки и корректировки, ос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уществления мониторинга и контроля реализации прогнозов социально-экономического развития Краснодарского края на долгосрочный и среднесрочный периоды», постановления администрации муниципального образования Ленинградский район от 29 декабря 2015 г. № 951 «</w:t>
      </w:r>
      <w:hyperlink r:id="rId10" w:tooltip="garantf1://36896324.0" w:history="1">
        <w:r>
          <w:rPr>
            <w:rFonts w:ascii="Times New Roman" w:hAnsi="Times New Roman" w:eastAsia="Times New Roman" w:cs="Times New Roman"/>
            <w:bCs/>
            <w:color w:val="0000ff"/>
            <w:spacing w:val="-3"/>
            <w:sz w:val="28"/>
            <w:szCs w:val="28"/>
            <w:u w:val="single"/>
            <w:lang w:eastAsia="ru-RU"/>
          </w:rPr>
          <w:t xml:space="preserve">О порядке разработки, корректировки, осуществления мониторинга и </w:t>
        </w:r>
        <w:r>
          <w:rPr>
            <w:rFonts w:ascii="Times New Roman" w:hAnsi="Times New Roman" w:eastAsia="Times New Roman" w:cs="Times New Roman"/>
            <w:bCs/>
            <w:color w:val="0000ff"/>
            <w:spacing w:val="-1"/>
            <w:sz w:val="28"/>
            <w:szCs w:val="28"/>
            <w:u w:val="single"/>
            <w:lang w:eastAsia="ru-RU"/>
          </w:rPr>
          <w:t xml:space="preserve">контроля реализации прогнозов социально-экономического развития </w:t>
        </w:r>
      </w:hyperlink>
      <w:r>
        <w:rPr>
          <w:rFonts w:ascii="Times New Roman" w:hAnsi="Times New Roman" w:eastAsia="Times New Roman" w:cs="Times New Roman"/>
          <w:bCs/>
          <w:spacing w:val="-1"/>
          <w:sz w:val="28"/>
          <w:szCs w:val="28"/>
          <w:lang w:eastAsia="ru-RU"/>
        </w:rPr>
        <w:t xml:space="preserve">муниципального образования Ленинградский район  на долгосрочный и </w:t>
      </w:r>
      <w:hyperlink r:id="rId11" w:tooltip="garantf1://36896324.0" w:history="1">
        <w:r>
          <w:rPr>
            <w:rFonts w:ascii="Times New Roman" w:hAnsi="Times New Roman" w:eastAsia="Times New Roman" w:cs="Times New Roman"/>
            <w:bCs/>
            <w:color w:val="0000ff"/>
            <w:spacing w:val="-1"/>
            <w:sz w:val="28"/>
            <w:szCs w:val="28"/>
            <w:u w:val="single"/>
            <w:lang w:eastAsia="ru-RU"/>
          </w:rPr>
          <w:t xml:space="preserve">среднесрочный периоды</w:t>
        </w:r>
      </w:hyperlink>
      <w:r>
        <w:rPr>
          <w:rFonts w:ascii="Times New Roman" w:hAnsi="Times New Roman" w:eastAsia="Times New Roman" w:cs="Times New Roman"/>
          <w:bCs/>
          <w:spacing w:val="-1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произведена разработка основных показателей прогноза развития муниципального образования Ленинградский район на 202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год и плановый период до 202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6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 w:eastAsia="Times New Roman" w:cs="Times New Roman"/>
          <w:bCs/>
          <w:spacing w:val="-1"/>
          <w:sz w:val="28"/>
          <w:szCs w:val="28"/>
          <w:lang w:eastAsia="ru-RU"/>
        </w:rPr>
        <w:t xml:space="preserve">.</w:t>
      </w:r>
      <w:r>
        <w:rPr>
          <w:rFonts w:ascii="Times New Roman CYR" w:hAnsi="Times New Roman CYR" w:eastAsia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eastAsia="Times New Roman" w:cs="Times New Roman"/>
          <w:sz w:val="28"/>
          <w:szCs w:val="28"/>
        </w:rPr>
        <w:t xml:space="preserve">Прогноз является базовым вариантом прогноза</w:t>
      </w:r>
      <w:r>
        <w:rPr>
          <w:rFonts w:ascii="Times New Roman CYR" w:hAnsi="Times New Roman CYR" w:eastAsia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 CYR" w:hAnsi="Times New Roman CYR" w:eastAsia="Times New Roman" w:cs="Times New Roman"/>
          <w:sz w:val="28"/>
          <w:szCs w:val="28"/>
          <w:lang w:eastAsia="ru-RU"/>
        </w:rPr>
        <w:t xml:space="preserve">социально-экономического развития муниципального района</w:t>
      </w:r>
      <w:r>
        <w:rPr>
          <w:rFonts w:ascii="Times New Roman CYR" w:hAnsi="Times New Roman CYR" w:eastAsia="Times New Roman" w:cs="Times New Roman"/>
          <w:sz w:val="28"/>
          <w:szCs w:val="28"/>
        </w:rPr>
        <w:t xml:space="preserve">, предполагающим </w:t>
      </w:r>
      <w:r>
        <w:rPr>
          <w:rFonts w:ascii="Times New Roman CYR" w:hAnsi="Times New Roman CYR" w:eastAsia="Calibri" w:cs="Times New Roman"/>
          <w:color w:val="000000"/>
          <w:sz w:val="28"/>
          <w:szCs w:val="28"/>
          <w:lang w:eastAsia="ru-RU"/>
        </w:rPr>
        <w:t xml:space="preserve">осуществление</w:t>
      </w:r>
      <w:r>
        <w:rPr>
          <w:rFonts w:ascii="Times New Roman CYR" w:hAnsi="Times New Roman CYR" w:eastAsia="Times New Roman" w:cs="Times New Roman"/>
          <w:sz w:val="28"/>
          <w:szCs w:val="28"/>
          <w:lang w:eastAsia="ru-RU"/>
        </w:rPr>
        <w:t xml:space="preserve"> необходимых мер, направленных на преодоление ресурсных ограничений, преимущественную реализацию проектов с низким риском реализации в прогнозируемые сроки в условиях </w:t>
      </w:r>
      <w:r>
        <w:rPr>
          <w:rFonts w:ascii="Times New Roman CYR" w:hAnsi="Times New Roman CYR" w:eastAsia="Calibri" w:cs="Times New Roman"/>
          <w:color w:val="000000"/>
          <w:sz w:val="28"/>
          <w:szCs w:val="28"/>
          <w:lang w:eastAsia="ru-RU"/>
        </w:rPr>
        <w:t xml:space="preserve">продолжения действия санкций со стороны </w:t>
      </w:r>
      <w:r>
        <w:rPr>
          <w:rFonts w:ascii="Times New Roman CYR" w:hAnsi="Times New Roman CYR" w:eastAsia="Times New Roman" w:cs="Times New Roman"/>
          <w:sz w:val="28"/>
          <w:szCs w:val="28"/>
          <w:lang w:eastAsia="ru-RU"/>
        </w:rPr>
        <w:t xml:space="preserve">Соединённых Штатов Америки</w:t>
      </w:r>
      <w:r>
        <w:rPr>
          <w:rFonts w:ascii="Times New Roman CYR" w:hAnsi="Times New Roman CYR" w:eastAsia="Calibri" w:cs="Times New Roman"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 CYR" w:hAnsi="Times New Roman CYR" w:eastAsia="Times New Roman" w:cs="Times New Roman"/>
          <w:bCs/>
          <w:sz w:val="28"/>
          <w:szCs w:val="28"/>
          <w:lang w:eastAsia="ru-RU"/>
        </w:rPr>
        <w:t xml:space="preserve">Европейского союза, и учитывающий </w:t>
      </w:r>
      <w:r>
        <w:rPr>
          <w:rFonts w:ascii="Times New Roman CYR" w:hAnsi="Times New Roman CYR" w:eastAsia="Times New Roman" w:cs="Times New Roman"/>
          <w:sz w:val="28"/>
          <w:szCs w:val="28"/>
          <w:lang w:eastAsia="ru-RU"/>
        </w:rPr>
        <w:t xml:space="preserve">национальные цели и стратегические задачи развития страны до 202</w:t>
      </w:r>
      <w:r>
        <w:rPr>
          <w:rFonts w:ascii="Times New Roman CYR" w:hAnsi="Times New Roman CYR" w:eastAsia="Times New Roman" w:cs="Times New Roman"/>
          <w:sz w:val="28"/>
          <w:szCs w:val="28"/>
          <w:lang w:eastAsia="ru-RU"/>
        </w:rPr>
        <w:t xml:space="preserve">6</w:t>
      </w:r>
      <w:r>
        <w:rPr>
          <w:rFonts w:ascii="Times New Roman CYR" w:hAnsi="Times New Roman CYR" w:eastAsia="Times New Roman" w:cs="Times New Roman"/>
          <w:sz w:val="28"/>
          <w:szCs w:val="28"/>
          <w:lang w:eastAsia="ru-RU"/>
        </w:rPr>
        <w:t xml:space="preserve"> года.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Прогноз социально-экономического развития муници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пального образования Ленинградский район на среднесрочный период является документом стратегического планирования, разрабатывается ежегодно на основе сценарных условий социально-экономического развития Российской Федерации, стратегии социально-экономическо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 развития Краснодарского края.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Прогноз социально-экономического развития муниципального образования Ленинградский район (далее-прогноз) является неотъемлемой частью прогноза социально-экономического развития Краснодарского края.   </w:t>
      </w:r>
      <w:r/>
    </w:p>
    <w:p>
      <w:pPr>
        <w:ind w:firstLine="709"/>
        <w:jc w:val="both"/>
        <w:spacing w:after="0" w:line="240" w:lineRule="auto"/>
        <w:rPr>
          <w:rFonts w:ascii="Times New Roman CYR" w:hAnsi="Times New Roman CYR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Прогноз основывается на статистической отчетности предшествующих лет и истекшего периода 202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года, учитывает намерения предприятий и организаций, осуществляющих деятельность на территории района,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исходные условия для формирования вариантов экон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омики на плановый период до 2026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года,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индексы–дефляторы и тенденции развития отраслей экономики, </w:t>
      </w:r>
      <w:r>
        <w:rPr>
          <w:rFonts w:ascii="Times New Roman CYR" w:hAnsi="Times New Roman CYR" w:eastAsia="Times New Roman" w:cs="Times New Roman"/>
          <w:sz w:val="28"/>
          <w:szCs w:val="28"/>
          <w:lang w:eastAsia="ru-RU"/>
        </w:rPr>
        <w:t xml:space="preserve">содержащиеся в сценарных условиях развития Российской Федерации и Краснодарского края до 202</w:t>
      </w:r>
      <w:r>
        <w:rPr>
          <w:rFonts w:ascii="Times New Roman CYR" w:hAnsi="Times New Roman CYR" w:eastAsia="Times New Roman" w:cs="Times New Roman"/>
          <w:sz w:val="28"/>
          <w:szCs w:val="28"/>
          <w:lang w:eastAsia="ru-RU"/>
        </w:rPr>
        <w:t xml:space="preserve">6</w:t>
      </w:r>
      <w:r>
        <w:rPr>
          <w:rFonts w:ascii="Times New Roman CYR" w:hAnsi="Times New Roman CYR" w:eastAsia="Times New Roman" w:cs="Times New Roman"/>
          <w:sz w:val="28"/>
          <w:szCs w:val="28"/>
          <w:lang w:eastAsia="ru-RU"/>
        </w:rPr>
        <w:t xml:space="preserve"> года.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При разработке прогноза учитывалось состояние, структура и перспективы   развития хозяйствующих суб</w:t>
      </w:r>
      <w:r>
        <w:rPr>
          <w:rFonts w:ascii="Times New Roman" w:hAnsi="Times New Roman" w:eastAsia="Calibri" w:cs="Times New Roman"/>
          <w:sz w:val="28"/>
          <w:szCs w:val="28"/>
        </w:rPr>
        <w:t xml:space="preserve">ъектов отраслей материального производства, потребительской сферы, жилищно-коммунального хозяйства и инженерно-технической инфраструктуры; социальной сферы; распределение трудовых и материальных ресурсов по отраслям экономики, финансовое состояние отраслей</w:t>
      </w:r>
      <w:r>
        <w:rPr>
          <w:rFonts w:ascii="Times New Roman" w:hAnsi="Times New Roman" w:eastAsia="Calibri" w:cs="Times New Roman"/>
          <w:sz w:val="28"/>
          <w:szCs w:val="28"/>
        </w:rPr>
        <w:t xml:space="preserve"> и хозяйствующих субъектов, программы перспективного развития экономики и социальной сферы муниципального образования и сельских поселений, а также  конкретные инвестиционные проекты, реализация которых осуществляется и   намечена в прогнозируемом периоде.</w:t>
      </w:r>
      <w:r/>
    </w:p>
    <w:p>
      <w:pPr>
        <w:ind w:firstLine="709"/>
        <w:jc w:val="both"/>
        <w:spacing w:after="0" w:line="240" w:lineRule="auto"/>
        <w:rPr>
          <w:rFonts w:ascii="Times New Roman CYR" w:hAnsi="Times New Roman CYR" w:eastAsia="Times New Roman" w:cs="Times New Roman"/>
          <w:sz w:val="28"/>
          <w:szCs w:val="28"/>
          <w:lang w:eastAsia="ru-RU"/>
        </w:rPr>
      </w:pPr>
      <w:r>
        <w:rPr>
          <w:rFonts w:ascii="Times New Roman CYR" w:hAnsi="Times New Roman CYR" w:eastAsia="Times New Roman" w:cs="Times New Roman"/>
          <w:sz w:val="28"/>
          <w:szCs w:val="28"/>
          <w:lang w:eastAsia="ru-RU"/>
        </w:rPr>
        <w:t xml:space="preserve">Общая земельная площадь</w:t>
      </w:r>
      <w:r>
        <w:rPr>
          <w:rFonts w:ascii="Times New Roman CYR" w:hAnsi="Times New Roman CYR" w:eastAsia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eastAsia="Times New Roman" w:cs="Times New Roman"/>
          <w:sz w:val="28"/>
          <w:szCs w:val="28"/>
          <w:lang w:eastAsia="ru-RU"/>
        </w:rPr>
        <w:t xml:space="preserve">р</w:t>
      </w:r>
      <w:r>
        <w:rPr>
          <w:rFonts w:ascii="Times New Roman CYR" w:hAnsi="Times New Roman CYR" w:eastAsia="Times New Roman" w:cs="Times New Roman"/>
          <w:sz w:val="28"/>
          <w:szCs w:val="28"/>
          <w:lang w:eastAsia="ru-RU"/>
        </w:rPr>
        <w:t xml:space="preserve">айона составляет 141,6 тыс. га.</w:t>
      </w:r>
      <w:r/>
    </w:p>
    <w:p>
      <w:pPr>
        <w:ind w:firstLine="709"/>
        <w:jc w:val="both"/>
        <w:spacing w:after="0" w:line="240" w:lineRule="auto"/>
        <w:rPr>
          <w:rFonts w:ascii="Times New Roman CYR" w:hAnsi="Times New Roman CYR" w:eastAsia="Times New Roman" w:cs="Times New Roman"/>
          <w:sz w:val="28"/>
          <w:szCs w:val="28"/>
          <w:lang w:eastAsia="ru-RU"/>
        </w:rPr>
      </w:pPr>
      <w:r>
        <w:rPr>
          <w:rFonts w:ascii="Times New Roman CYR" w:hAnsi="Times New Roman CYR" w:eastAsia="Times New Roman" w:cs="Times New Roman"/>
          <w:sz w:val="28"/>
          <w:szCs w:val="28"/>
          <w:lang w:eastAsia="ru-RU"/>
        </w:rPr>
        <w:t xml:space="preserve">По состоянию на 01.01.202</w:t>
      </w:r>
      <w:r>
        <w:rPr>
          <w:rFonts w:ascii="Times New Roman CYR" w:hAnsi="Times New Roman CYR" w:eastAsia="Times New Roman" w:cs="Times New Roman"/>
          <w:sz w:val="28"/>
          <w:szCs w:val="28"/>
          <w:lang w:eastAsia="ru-RU"/>
        </w:rPr>
        <w:t xml:space="preserve">2</w:t>
      </w:r>
      <w:r>
        <w:rPr>
          <w:rFonts w:ascii="Times New Roman CYR" w:hAnsi="Times New Roman CYR" w:eastAsia="Times New Roman" w:cs="Times New Roman"/>
          <w:sz w:val="28"/>
          <w:szCs w:val="28"/>
          <w:lang w:eastAsia="ru-RU"/>
        </w:rPr>
        <w:t xml:space="preserve"> года численность постоянного населения муниципального образования Ленинградский район составила </w:t>
      </w:r>
      <w:r>
        <w:rPr>
          <w:rFonts w:ascii="Times New Roman CYR" w:hAnsi="Times New Roman CYR" w:eastAsia="Times New Roman" w:cs="Times New Roman"/>
          <w:sz w:val="28"/>
          <w:szCs w:val="28"/>
          <w:lang w:eastAsia="ru-RU"/>
        </w:rPr>
        <w:t xml:space="preserve">58,9</w:t>
      </w:r>
      <w:r>
        <w:rPr>
          <w:rFonts w:ascii="Times New Roman CYR" w:hAnsi="Times New Roman CYR" w:eastAsia="Times New Roman" w:cs="Times New Roman"/>
          <w:sz w:val="28"/>
          <w:szCs w:val="28"/>
          <w:lang w:eastAsia="ru-RU"/>
        </w:rPr>
        <w:t xml:space="preserve"> тыс. человек, из них </w:t>
      </w:r>
      <w:r>
        <w:rPr>
          <w:rFonts w:ascii="Times New Roman CYR" w:hAnsi="Times New Roman CYR" w:eastAsia="Times New Roman" w:cs="Times New Roman"/>
          <w:sz w:val="28"/>
          <w:szCs w:val="28"/>
          <w:lang w:eastAsia="ru-RU"/>
        </w:rPr>
        <w:t xml:space="preserve">34,4</w:t>
      </w:r>
      <w:r>
        <w:rPr>
          <w:rFonts w:ascii="Times New Roman CYR" w:hAnsi="Times New Roman CYR" w:eastAsia="Times New Roman" w:cs="Times New Roman"/>
          <w:sz w:val="28"/>
          <w:szCs w:val="28"/>
          <w:lang w:eastAsia="ru-RU"/>
        </w:rPr>
        <w:t xml:space="preserve"> тыс. чел.- трудоспособное население.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Эконо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мическая устойчивость района обеспечивается за счет структуры базовых отраслей, ориентированной на сельское хозяйство и производство продуктов питания и, в связи с этим, менее подверженной «проседанием» под влиянием неблагоприятных факторов внешней среды. 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ascii="Times New Roman" w:hAnsi="Times New Roman" w:eastAsia="Calibri" w:cs="Times New Roman"/>
          <w:spacing w:val="-1"/>
          <w:sz w:val="28"/>
          <w:szCs w:val="28"/>
        </w:rPr>
        <w:t xml:space="preserve">В</w:t>
      </w:r>
      <w:r>
        <w:rPr>
          <w:rFonts w:ascii="Times New Roman" w:hAnsi="Times New Roman" w:eastAsia="Calibri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pacing w:val="-1"/>
          <w:sz w:val="28"/>
          <w:szCs w:val="28"/>
        </w:rPr>
        <w:t xml:space="preserve">отраслях экономики в 202</w:t>
      </w:r>
      <w:r>
        <w:rPr>
          <w:rFonts w:ascii="Times New Roman" w:hAnsi="Times New Roman" w:eastAsia="Calibri" w:cs="Times New Roman"/>
          <w:spacing w:val="-1"/>
          <w:sz w:val="28"/>
          <w:szCs w:val="28"/>
        </w:rPr>
        <w:t xml:space="preserve">2</w:t>
      </w:r>
      <w:r>
        <w:rPr>
          <w:rFonts w:ascii="Times New Roman" w:hAnsi="Times New Roman" w:eastAsia="Calibri" w:cs="Times New Roman"/>
          <w:spacing w:val="-1"/>
          <w:sz w:val="28"/>
          <w:szCs w:val="28"/>
        </w:rPr>
        <w:t xml:space="preserve"> году обеспечен рост среднемесячной </w:t>
      </w:r>
      <w:r>
        <w:rPr>
          <w:rFonts w:ascii="Times New Roman" w:hAnsi="Times New Roman" w:eastAsia="Calibri" w:cs="Times New Roman"/>
          <w:sz w:val="28"/>
          <w:szCs w:val="28"/>
        </w:rPr>
        <w:t xml:space="preserve">заработной платы работающих, н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е допущено массовых увольнений в результате сокращения численности или закрытия производств. </w:t>
      </w:r>
      <w:r/>
    </w:p>
    <w:p>
      <w:pPr>
        <w:ind w:firstLine="709"/>
        <w:jc w:val="both"/>
        <w:spacing w:after="0" w:line="240" w:lineRule="auto"/>
        <w:rPr>
          <w:rFonts w:ascii="Times New Roman CYR" w:hAnsi="Times New Roman CYR" w:eastAsia="Times New Roman" w:cs="Times New Roman"/>
          <w:sz w:val="28"/>
          <w:szCs w:val="28"/>
          <w:lang w:eastAsia="ru-RU"/>
        </w:rPr>
      </w:pPr>
      <w:r>
        <w:rPr>
          <w:rFonts w:ascii="Times New Roman CYR" w:hAnsi="Times New Roman CYR" w:eastAsia="Times New Roman" w:cs="Times New Roman"/>
          <w:sz w:val="28"/>
          <w:szCs w:val="28"/>
          <w:lang w:eastAsia="ru-RU"/>
        </w:rPr>
        <w:t xml:space="preserve">Урове</w:t>
      </w:r>
      <w:r>
        <w:rPr>
          <w:rFonts w:ascii="Times New Roman CYR" w:hAnsi="Times New Roman CYR" w:eastAsia="Times New Roman" w:cs="Times New Roman"/>
          <w:sz w:val="28"/>
          <w:szCs w:val="28"/>
          <w:lang w:eastAsia="ru-RU"/>
        </w:rPr>
        <w:t xml:space="preserve">нь финансового состояния большинства хозяйствующих субъектов муниципального образования имеет положительную характеристику. Всеми секторами экономики обеспечен рост налогооблагаемой базы и соответствующий прирост налоговых платежей в бюджеты всех уровней. </w:t>
      </w:r>
      <w:r/>
    </w:p>
    <w:p>
      <w:pPr>
        <w:ind w:firstLine="709"/>
        <w:jc w:val="both"/>
        <w:spacing w:after="0" w:line="240" w:lineRule="auto"/>
        <w:rPr>
          <w:rFonts w:ascii="Times New Roman CYR" w:hAnsi="Times New Roman CYR" w:eastAsia="Times New Roman" w:cs="Times New Roman"/>
          <w:sz w:val="28"/>
          <w:szCs w:val="28"/>
          <w:lang w:eastAsia="ru-RU"/>
        </w:rPr>
      </w:pPr>
      <w:r>
        <w:rPr>
          <w:rFonts w:ascii="Times New Roman CYR" w:hAnsi="Times New Roman CYR" w:eastAsia="Times New Roman" w:cs="Times New Roman"/>
          <w:sz w:val="28"/>
          <w:szCs w:val="28"/>
          <w:lang w:eastAsia="ru-RU"/>
        </w:rPr>
        <w:t xml:space="preserve">Администрацией муниципального образования проводилась активная инвестиционная политика, направленная на создание инвестиционно - привлекательного имиджа и ликвидацию административных барьеров.</w:t>
      </w:r>
      <w:r/>
    </w:p>
    <w:p>
      <w:pPr>
        <w:ind w:firstLine="709"/>
        <w:jc w:val="both"/>
        <w:spacing w:after="0" w:line="240" w:lineRule="auto"/>
        <w:rPr>
          <w:rFonts w:ascii="Times New Roman CYR" w:hAnsi="Times New Roman CYR" w:eastAsia="Times New Roman" w:cs="Times New Roman"/>
          <w:sz w:val="28"/>
          <w:szCs w:val="28"/>
          <w:lang w:eastAsia="ru-RU"/>
        </w:rPr>
      </w:pPr>
      <w:r>
        <w:rPr>
          <w:rFonts w:ascii="Times New Roman CYR" w:hAnsi="Times New Roman CYR" w:eastAsia="Times New Roman" w:cs="Times New Roman"/>
          <w:sz w:val="28"/>
          <w:szCs w:val="28"/>
          <w:lang w:eastAsia="ru-RU"/>
        </w:rPr>
        <w:t xml:space="preserve">В социально-экономическом развитии района ведущая роль принадлежит агропромышленному комплексу. Обеспечение устойчивого развития этого с</w:t>
      </w:r>
      <w:r>
        <w:rPr>
          <w:rFonts w:ascii="Times New Roman CYR" w:hAnsi="Times New Roman CYR" w:eastAsia="Times New Roman" w:cs="Times New Roman"/>
          <w:sz w:val="28"/>
          <w:szCs w:val="28"/>
          <w:lang w:eastAsia="ru-RU"/>
        </w:rPr>
        <w:t xml:space="preserve">ектора экономики является приоритетной задачей для администрации муниципального образования. Аграрный бизнес исторически является основой экономики Ленинградского района в силу природно-климатических условий, наличия земельных ресурсов и трудовых традиций.</w:t>
      </w:r>
      <w:r/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outlineLvl w:val="4"/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Полученные собственные доходы, а также безвозмездные поступления из краевого бюджета позволили повысить оплату труда и укрепить материально-техническую базу бюджетных учреждений, а также участвовать в федеральных и краевых государственных программах.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Стоящие перед органами местного с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амоуправления задачи инфраструктурного и социального развития требуют более значительного бюджетного финансирования и достичь этого возможно только на основе комплексного подхода к развитию собственной территории и в первую очередь - налогооблагаемой базы.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Привлечение инвестиций, создание новых рабочих мест, поиск резервов налогового потенциала - важнейшие вопросы, над которыми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необходимо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работать в каждом сельском поселении.</w:t>
      </w:r>
      <w:r/>
    </w:p>
    <w:p>
      <w:pPr>
        <w:spacing w:after="0" w:line="240" w:lineRule="auto"/>
        <w:rPr>
          <w:rFonts w:ascii="Times New Roman CYR" w:hAnsi="Times New Roman CYR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 CYR" w:hAnsi="Times New Roman CYR" w:eastAsia="Times New Roman" w:cs="Times New Roman"/>
          <w:b/>
          <w:bCs/>
          <w:sz w:val="28"/>
          <w:szCs w:val="28"/>
          <w:lang w:eastAsia="ru-RU"/>
        </w:rPr>
      </w:r>
      <w:r/>
    </w:p>
    <w:p>
      <w:pPr>
        <w:spacing w:after="0" w:line="240" w:lineRule="auto"/>
        <w:rPr>
          <w:rFonts w:ascii="Times New Roman CYR" w:hAnsi="Times New Roman CYR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 CYR" w:hAnsi="Times New Roman CYR" w:eastAsia="Times New Roman" w:cs="Times New Roman"/>
          <w:b/>
          <w:bCs/>
          <w:sz w:val="28"/>
          <w:szCs w:val="28"/>
          <w:lang w:eastAsia="ru-RU"/>
        </w:rPr>
      </w:r>
      <w:r/>
    </w:p>
    <w:p>
      <w:pPr>
        <w:spacing w:after="0" w:line="240" w:lineRule="auto"/>
        <w:rPr>
          <w:rFonts w:ascii="Times New Roman CYR" w:hAnsi="Times New Roman CYR" w:eastAsia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 CYR" w:hAnsi="Times New Roman CYR" w:eastAsia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</w:t>
      </w:r>
      <w:r>
        <w:rPr>
          <w:rFonts w:ascii="Times New Roman CYR" w:hAnsi="Times New Roman CYR" w:eastAsia="Times New Roman" w:cs="Times New Roman"/>
          <w:b/>
          <w:bCs/>
          <w:sz w:val="28"/>
          <w:szCs w:val="28"/>
          <w:lang w:eastAsia="ru-RU"/>
        </w:rPr>
        <w:t xml:space="preserve">    </w:t>
      </w:r>
      <w:r>
        <w:rPr>
          <w:rFonts w:ascii="Times New Roman CYR" w:hAnsi="Times New Roman CYR" w:eastAsia="Times New Roman" w:cs="Times New Roman"/>
          <w:b/>
          <w:bCs/>
          <w:sz w:val="28"/>
          <w:szCs w:val="28"/>
          <w:u w:val="single"/>
          <w:lang w:eastAsia="ru-RU"/>
        </w:rPr>
        <w:t xml:space="preserve">Демография</w:t>
      </w:r>
      <w:r/>
    </w:p>
    <w:p>
      <w:pPr>
        <w:spacing w:after="0" w:line="240" w:lineRule="auto"/>
        <w:rPr>
          <w:rFonts w:ascii="Times New Roman CYR" w:hAnsi="Times New Roman CYR" w:eastAsia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 CYR" w:hAnsi="Times New Roman CYR" w:eastAsia="Times New Roman" w:cs="Times New Roman"/>
          <w:b/>
          <w:bCs/>
          <w:sz w:val="28"/>
          <w:szCs w:val="28"/>
          <w:u w:val="single"/>
          <w:lang w:eastAsia="ru-RU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Общая численност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ь постоянного населения муниципального образования Ленинградский район на конец 2022 года составила 58,921 тысяч человек, из них 58,4 % трудоспособного населения. Ожидаемая численность на конец 2023 года 58,634 тысяч человек, или 99,5 % к уровню 2022 года.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pacing w:val="-8"/>
          <w:sz w:val="28"/>
          <w:szCs w:val="28"/>
          <w:highlight w:val="whit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Среди постоянного населения мужчины составляют 46,5%; женщины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–</w:t>
      </w:r>
      <w:r>
        <w:rPr>
          <w:rFonts w:ascii="Times New Roman" w:hAnsi="Times New Roman" w:eastAsia="Calibri" w:cs="Times New Roman"/>
          <w:spacing w:val="15"/>
          <w:sz w:val="28"/>
          <w:szCs w:val="28"/>
          <w:highlight w:val="white"/>
        </w:rPr>
        <w:t xml:space="preserve">51,5%. </w:t>
      </w:r>
      <w:r>
        <w:rPr>
          <w:rFonts w:ascii="Times New Roman" w:hAnsi="Times New Roman" w:eastAsia="Calibri" w:cs="Times New Roman"/>
          <w:spacing w:val="-8"/>
          <w:sz w:val="28"/>
          <w:szCs w:val="28"/>
          <w:highlight w:val="white"/>
        </w:rPr>
        <w:t xml:space="preserve">Плотность населения по сельским поселениям колеблется от 9 человек (Западное сельское поселение) до 100 чел. на 1 кв. км (Ленинградское сельское поселение).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highlight w:val="whit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Наиболее густонаселенными территориями являются Ленинградское, Куликовское и Крыловское сельские поселения (75, 29 и 27 чел. на 1 кв. км соответственно).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Средний показатель плотности населения по району – 41,80 чел./ км2, что составляет 62% от среднекраевого показателя (67,34 чел./км2).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Процент населения трудоспособного возраста составляет на конец 2022 года 100,1%, абсолютный прирост составил 0,030 к уровню 2021года.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Прогнозируемая численность постоянного населения муниципального образования на конец 2023 года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– 58,634 тысяч человек, или 99,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5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% к уровню 2022 года, на конец 2024 года –58,579 тысяч человек, или 99,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9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% к уровню 2023 года, на конец 2025 года – 58,6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53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тысяч человек, или 10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1,1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% к уровню 2024 года, на конец 2026 года – 58,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875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тысяч человек, или 100,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% к уровню 2025 года.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Общая численность трудовых ресурсов в муниципальном образовании на конец 2022 года составила 34,4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34 тыс. человек, или 100,1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% к уровню 2021 года, в 2023 году ожидаемая численность трудовых ресурсов составит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35,068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тыс. человек или 101,8% к уровню 2022 года. </w:t>
      </w:r>
      <w:r/>
    </w:p>
    <w:p>
      <w:pPr>
        <w:pStyle w:val="840"/>
        <w:ind w:firstLine="709"/>
        <w:jc w:val="both"/>
        <w:spacing w:before="0" w:beforeAutospacing="0" w:after="0" w:afterAutospacing="0"/>
        <w:tabs>
          <w:tab w:val="left" w:pos="851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       В целях улучшения качества жизни на территории муниципального образования Ленинградский район реализуется мероприятия национального проекта «Демография»: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1. Помощь семьям при рождении детей (финансовые меры поддержки);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2.Старшее поколение (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б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лагодаря федеральному проекту «Разработка и реализация программы системной поддержки и повышения качества жизни граждан старшего поколения» организовано проведение диспансеризации, профилактических осмотров);</w:t>
      </w:r>
      <w:r/>
    </w:p>
    <w:p>
      <w:pPr>
        <w:jc w:val="both"/>
        <w:spacing w:after="0" w:line="240" w:lineRule="auto"/>
        <w:tabs>
          <w:tab w:val="left" w:pos="709" w:leader="none"/>
        </w:tabs>
        <w:rPr>
          <w:rFonts w:ascii="Hauss" w:hAnsi="Hauss"/>
          <w:color w:val="000000"/>
          <w:sz w:val="32"/>
          <w:szCs w:val="32"/>
          <w:highlight w:val="whit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3.Содействие занятости (п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овышении квалификации и формирования новых профессиональных навыков</w:t>
      </w:r>
      <w:r>
        <w:rPr>
          <w:rFonts w:ascii="Hauss" w:hAnsi="Hauss"/>
          <w:color w:val="000000"/>
          <w:sz w:val="32"/>
          <w:szCs w:val="32"/>
          <w:highlight w:val="white"/>
          <w:shd w:val="clear" w:color="auto" w:fill="ffffff"/>
        </w:rPr>
        <w:t xml:space="preserve">);</w:t>
      </w:r>
      <w:r/>
    </w:p>
    <w:p>
      <w:pPr>
        <w:pStyle w:val="840"/>
        <w:jc w:val="both"/>
        <w:spacing w:before="0" w:beforeAutospacing="0" w:after="0" w:afterAutospacing="0"/>
        <w:tabs>
          <w:tab w:val="left" w:pos="709" w:leader="none"/>
        </w:tabs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</w:t>
      </w: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4</w:t>
      </w:r>
      <w:r>
        <w:rPr>
          <w:rFonts w:ascii="Hauss" w:hAnsi="Hauss"/>
          <w:color w:val="000000"/>
          <w:sz w:val="32"/>
          <w:szCs w:val="32"/>
          <w:highlight w:val="white"/>
          <w:shd w:val="clear" w:color="auto" w:fill="ffffff"/>
        </w:rPr>
        <w:t xml:space="preserve">.</w:t>
      </w: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Спорт – Норма жизни (б</w:t>
      </w:r>
      <w:r>
        <w:rPr>
          <w:color w:val="000000"/>
          <w:sz w:val="28"/>
          <w:szCs w:val="28"/>
          <w:highlight w:val="white"/>
        </w:rPr>
        <w:t xml:space="preserve">лагодаря федеральному проекту для всех категорий и групп населения условий для занятий физической культурой и спортом, массовым спортом, в том числе повышение уровня обеспеченности населения объектами спорта, а также подготовка спортивного резерва).</w:t>
      </w:r>
      <w:r/>
    </w:p>
    <w:p>
      <w:pPr>
        <w:pStyle w:val="840"/>
        <w:jc w:val="both"/>
        <w:spacing w:before="0" w:beforeAutospacing="0" w:after="0" w:afterAutospacing="0"/>
        <w:tabs>
          <w:tab w:val="left" w:pos="709" w:leader="none"/>
        </w:tabs>
        <w:rPr>
          <w:rFonts w:ascii="Hauss" w:hAnsi="Hauss"/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 xml:space="preserve">        </w:t>
      </w:r>
      <w:r>
        <w:rPr>
          <w:sz w:val="28"/>
          <w:szCs w:val="28"/>
          <w:highlight w:val="white"/>
        </w:rPr>
        <w:t xml:space="preserve">С целью формир</w:t>
      </w:r>
      <w:r>
        <w:rPr>
          <w:sz w:val="28"/>
          <w:szCs w:val="28"/>
          <w:highlight w:val="white"/>
        </w:rPr>
        <w:t xml:space="preserve">ования социально-экономических предпосылок для последующего демографического роста, укрепления здоровья и увеличения продолжительности жизни населения в муниципальном образовании реализуются мероприятия в рамках федерального проекта «Содействие занятости»:</w:t>
      </w:r>
      <w:r/>
    </w:p>
    <w:p>
      <w:pPr>
        <w:pStyle w:val="840"/>
        <w:ind w:firstLine="709"/>
        <w:jc w:val="both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1)содействия гражданам в поиске подходящей работы, а работодателям в подборе необходимых работников, </w:t>
      </w:r>
      <w:r/>
    </w:p>
    <w:p>
      <w:pPr>
        <w:pStyle w:val="840"/>
        <w:ind w:firstLine="709"/>
        <w:jc w:val="both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2) выбора профессии, переквалификации; </w:t>
      </w:r>
      <w:r/>
    </w:p>
    <w:p>
      <w:pPr>
        <w:ind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3)профессиональное обучение и дополнительное профессиональное образование безработных граждан;</w:t>
      </w:r>
      <w:r/>
    </w:p>
    <w:p>
      <w:pPr>
        <w:ind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4)сохранение мотивации к труду у лиц, имеющих длительный перерыв в работе или не имеющих опыта работы, а также </w: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t xml:space="preserve">в качестве дополнительной социальной поддержки,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 оплачиваемые общественные работы;</w:t>
      </w:r>
      <w:r/>
    </w:p>
    <w:p>
      <w:pPr>
        <w:pStyle w:val="840"/>
        <w:ind w:firstLine="709"/>
        <w:jc w:val="both"/>
        <w:spacing w:before="0" w:beforeAutospacing="0" w:after="0" w:afterAutospacing="0"/>
        <w:tabs>
          <w:tab w:val="left" w:pos="851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5)профилактики правонарушений, преступлений и антиобщественного поведения подростков, в рамках мероприятий по организации временного трудоустройства несовершеннолетних граждан на временные рабочие места. </w:t>
      </w:r>
      <w:r/>
    </w:p>
    <w:p>
      <w:pPr>
        <w:pStyle w:val="840"/>
        <w:ind w:firstLine="709"/>
        <w:jc w:val="both"/>
        <w:spacing w:before="0" w:beforeAutospacing="0" w:after="0" w:afterAutospacing="0"/>
        <w:tabs>
          <w:tab w:val="left" w:pos="851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Прогнозируемая численность трудовых ресурсов в 2024 году составит </w:t>
      </w:r>
      <w:r>
        <w:rPr>
          <w:sz w:val="28"/>
          <w:szCs w:val="28"/>
          <w:highlight w:val="white"/>
        </w:rPr>
        <w:t xml:space="preserve">34,900</w:t>
      </w:r>
      <w:r>
        <w:rPr>
          <w:sz w:val="28"/>
          <w:szCs w:val="28"/>
          <w:highlight w:val="white"/>
        </w:rPr>
        <w:t xml:space="preserve"> тыс. человек или 99,5% к уровню 2023 года, в 2025 году ожидаемая численность трудовых ресурсов составит </w:t>
      </w:r>
      <w:r>
        <w:rPr>
          <w:sz w:val="28"/>
          <w:szCs w:val="28"/>
          <w:highlight w:val="white"/>
        </w:rPr>
        <w:t xml:space="preserve">35,667</w:t>
      </w:r>
      <w:r>
        <w:rPr>
          <w:sz w:val="28"/>
          <w:szCs w:val="28"/>
          <w:highlight w:val="white"/>
        </w:rPr>
        <w:t xml:space="preserve"> тыс. человек или 102,2% к уровню 2024 года, в 2026 году ожидаемая численность трудовых ресурсов составит 35,</w:t>
      </w:r>
      <w:r>
        <w:rPr>
          <w:sz w:val="28"/>
          <w:szCs w:val="28"/>
          <w:highlight w:val="white"/>
        </w:rPr>
        <w:t xml:space="preserve">725</w:t>
      </w:r>
      <w:r>
        <w:rPr>
          <w:sz w:val="28"/>
          <w:szCs w:val="28"/>
          <w:highlight w:val="white"/>
        </w:rPr>
        <w:t xml:space="preserve"> тыс. человек или  </w:t>
      </w:r>
      <w:r>
        <w:rPr>
          <w:sz w:val="28"/>
          <w:szCs w:val="28"/>
          <w:highlight w:val="white"/>
        </w:rPr>
        <w:t xml:space="preserve">100</w:t>
      </w:r>
      <w:r>
        <w:rPr>
          <w:sz w:val="28"/>
          <w:szCs w:val="28"/>
          <w:highlight w:val="white"/>
        </w:rPr>
        <w:t xml:space="preserve">,2% к уровню 2025 года</w:t>
      </w:r>
      <w:r>
        <w:rPr>
          <w:highlight w:val="white"/>
        </w:rPr>
        <w:t xml:space="preserve">.</w:t>
      </w:r>
      <w:r/>
    </w:p>
    <w:p>
      <w:pPr>
        <w:ind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Прогнозируемый рост числа населения в трудоспособном возрасте основан на проведении Пенсионной реформы 2019—2028 годов, предусматривающий постепенный подъём </w:t>
      </w:r>
      <w:hyperlink r:id="rId12" w:tooltip="Пенсионный возраст" w:history="1">
        <w:r>
          <w:rPr>
            <w:rFonts w:ascii="Times New Roman" w:hAnsi="Times New Roman" w:eastAsia="Times New Roman" w:cs="Times New Roman"/>
            <w:sz w:val="28"/>
            <w:szCs w:val="28"/>
            <w:highlight w:val="white"/>
            <w:lang w:eastAsia="ru-RU"/>
          </w:rPr>
          <w:t xml:space="preserve">пенсионного возраста</w:t>
        </w:r>
      </w:hyperlink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от 55 до 60 лет для женщин и от 60 до 65 для мужчин.</w:t>
      </w:r>
      <w:r/>
    </w:p>
    <w:p>
      <w:pPr>
        <w:ind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  <w:t xml:space="preserve">Показатели естественного движения населения (чел.)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r>
      <w:r/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65"/>
        <w:gridCol w:w="930"/>
        <w:gridCol w:w="1086"/>
        <w:gridCol w:w="898"/>
        <w:gridCol w:w="992"/>
        <w:gridCol w:w="993"/>
        <w:gridCol w:w="992"/>
      </w:tblGrid>
      <w:tr>
        <w:trPr>
          <w:trHeight w:val="113"/>
        </w:trPr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3465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  <w:lang w:eastAsia="ru-RU"/>
              </w:rPr>
              <w:t xml:space="preserve">Наименование</w:t>
            </w:r>
            <w:r/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W w:w="9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2021 г.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08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2022 г.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9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2023 г.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2024г.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2025 г.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bCs/>
                <w:spacing w:val="-3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pacing w:val="-3"/>
                <w:sz w:val="28"/>
                <w:szCs w:val="28"/>
                <w:highlight w:val="white"/>
                <w:lang w:eastAsia="ru-RU"/>
              </w:rPr>
              <w:t xml:space="preserve">2026 г.</w:t>
            </w:r>
            <w:r/>
          </w:p>
        </w:tc>
      </w:tr>
      <w:tr>
        <w:trPr>
          <w:trHeight w:val="113"/>
        </w:trPr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3465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Рождаемость</w:t>
            </w:r>
            <w:r/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 (на 1000 населения)</w:t>
            </w:r>
            <w:r/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W w:w="9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8,34</w:t>
            </w:r>
            <w:r/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086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  <w:lang w:eastAsia="ru-RU"/>
              </w:rPr>
              <w:t xml:space="preserve">7,60</w:t>
            </w:r>
            <w:r/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9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6,85</w:t>
            </w:r>
            <w:r/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7,04</w:t>
            </w:r>
            <w:r/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7,11</w:t>
            </w:r>
            <w:r/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7,10</w:t>
            </w:r>
            <w:r/>
          </w:p>
        </w:tc>
      </w:tr>
      <w:tr>
        <w:trPr>
          <w:trHeight w:val="113"/>
        </w:trPr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3465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Общая смертность</w:t>
            </w:r>
            <w:r/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(на 1000 населения)</w:t>
            </w:r>
            <w:r/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W w:w="9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19,2</w:t>
            </w:r>
            <w:r/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08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16,4</w:t>
            </w:r>
            <w:r/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9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15,9</w:t>
            </w:r>
            <w:r/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15,4</w:t>
            </w:r>
            <w:r/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14,8</w:t>
            </w:r>
            <w:r/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14,3</w:t>
            </w:r>
            <w:r/>
          </w:p>
        </w:tc>
      </w:tr>
      <w:tr>
        <w:trPr>
          <w:trHeight w:val="113"/>
        </w:trPr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3465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Естественная убыль</w:t>
            </w:r>
            <w:r/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(на 1000 населения)</w:t>
            </w:r>
            <w:r/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W w:w="9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10,87</w:t>
            </w:r>
            <w:r/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08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18,69</w:t>
            </w:r>
            <w:r/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9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16,52</w:t>
            </w:r>
            <w:r/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24,4</w:t>
            </w:r>
            <w:r/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23,4</w:t>
            </w:r>
            <w:r/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22,9</w:t>
            </w:r>
            <w:r/>
          </w:p>
        </w:tc>
      </w:tr>
    </w:tbl>
    <w:p>
      <w:pPr>
        <w:ind w:left="234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yellow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yellow"/>
        </w:rPr>
      </w:r>
      <w:r/>
    </w:p>
    <w:p>
      <w:pPr>
        <w:ind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Естественная убыль населения в 2022 году составила 550 чел., или 82,7% к уровню 2021 года, ожидаемая убыль в 2023 году – 563 чел., или 102,4% к уровню 2022 года. Прогнозируемая естественная убыль населения в 2024 году –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522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чел., или 9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2,7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% к уровню 2023 года, в 2025 году –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484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чел., или 92,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7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% к уровню 2024 г., в 2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026 г. – 447 чел., или 92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,3 % к уровню 2025 г.</w:t>
      </w:r>
      <w:r/>
    </w:p>
    <w:p>
      <w:pPr>
        <w:pStyle w:val="840"/>
        <w:jc w:val="both"/>
        <w:spacing w:before="0" w:beforeAutospacing="0" w:after="0" w:afterAutospacing="0"/>
        <w:shd w:val="clear" w:color="auto" w:fill="ffffff"/>
        <w:tabs>
          <w:tab w:val="left" w:pos="709" w:leader="none"/>
        </w:tabs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         В целях повышения демографических показателей, а также с целью снижения уровня </w:t>
      </w:r>
      <w:r>
        <w:rPr>
          <w:color w:val="000000"/>
          <w:sz w:val="28"/>
          <w:szCs w:val="28"/>
          <w:highlight w:val="white"/>
        </w:rPr>
        <w:t xml:space="preserve">количес</w:t>
      </w:r>
      <w:r>
        <w:rPr>
          <w:color w:val="000000"/>
          <w:sz w:val="28"/>
          <w:szCs w:val="28"/>
          <w:highlight w:val="white"/>
        </w:rPr>
        <w:t xml:space="preserve">тва смертей от наиболее распространенных болезней: злокачественных образований и болезней сердечно-сосудистой системы в рамках государственной программы до 2026 года планируется охватить профилактическими осмотрами и диспансеризацией не менее 70% населения</w:t>
      </w:r>
      <w:r>
        <w:rPr>
          <w:color w:val="000000"/>
          <w:sz w:val="28"/>
          <w:szCs w:val="28"/>
          <w:highlight w:val="white"/>
        </w:rPr>
        <w:t xml:space="preserve"> Ленинградского района</w:t>
      </w:r>
      <w:r>
        <w:rPr>
          <w:color w:val="000000"/>
          <w:sz w:val="28"/>
          <w:szCs w:val="28"/>
          <w:highlight w:val="white"/>
        </w:rPr>
        <w:t xml:space="preserve">.</w:t>
      </w:r>
      <w:r/>
    </w:p>
    <w:p>
      <w:pPr>
        <w:pStyle w:val="840"/>
        <w:jc w:val="both"/>
        <w:spacing w:before="0" w:beforeAutospacing="0" w:after="0" w:afterAutospacing="0"/>
        <w:shd w:val="clear" w:color="auto" w:fill="ffffff"/>
        <w:tabs>
          <w:tab w:val="left" w:pos="709" w:leader="none"/>
        </w:tabs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           Мероприятия также направлены на раннее выявление сердечно-сосудистых заболеваний, которая позволит сократить смертность от болезней системы кровообращения. </w:t>
      </w:r>
      <w:r/>
    </w:p>
    <w:p>
      <w:pPr>
        <w:pStyle w:val="840"/>
        <w:jc w:val="both"/>
        <w:spacing w:before="0" w:beforeAutospacing="0" w:after="0" w:afterAutospacing="0"/>
        <w:shd w:val="clear" w:color="auto" w:fill="ffffff"/>
        <w:tabs>
          <w:tab w:val="left" w:pos="709" w:leader="none"/>
        </w:tabs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           </w:t>
      </w:r>
      <w:r>
        <w:rPr>
          <w:sz w:val="28"/>
          <w:szCs w:val="28"/>
          <w:highlight w:val="white"/>
        </w:rPr>
        <w:t xml:space="preserve">Орган</w:t>
      </w:r>
      <w:r>
        <w:rPr>
          <w:sz w:val="28"/>
          <w:szCs w:val="28"/>
          <w:highlight w:val="white"/>
        </w:rPr>
        <w:t xml:space="preserve">изовано постоянное диспансерное наблюдение граждан, проводится контроль качества выполнения стандартов медицинской помощи, проводится улучшение материально-технической базы лечебных учреждений (приобретение нового оборудования, капитальный ремонт помещений</w:t>
      </w:r>
      <w:r>
        <w:rPr>
          <w:sz w:val="28"/>
          <w:szCs w:val="28"/>
          <w:highlight w:val="white"/>
        </w:rPr>
        <w:t xml:space="preserve">), пропагандируется здоровый образ жизни среди населения района, организована доступность занятиями спорта (функционирует центр плавания «Акватика», универсальный спортивный комплекс «Лидер», в сельских поселениях оборудованы площадки для занятия спортом, </w:t>
      </w:r>
      <w:r>
        <w:rPr>
          <w:sz w:val="28"/>
          <w:szCs w:val="28"/>
          <w:highlight w:val="white"/>
        </w:rPr>
        <w:t xml:space="preserve">уличной гимнастикой - </w:t>
      </w:r>
      <w:r>
        <w:rPr>
          <w:sz w:val="28"/>
          <w:szCs w:val="28"/>
          <w:highlight w:val="white"/>
        </w:rPr>
        <w:t xml:space="preserve">воркаут</w:t>
      </w:r>
      <w:r>
        <w:rPr>
          <w:sz w:val="28"/>
          <w:szCs w:val="28"/>
          <w:highlight w:val="white"/>
        </w:rPr>
        <w:t xml:space="preserve">о</w:t>
      </w:r>
      <w:r>
        <w:rPr>
          <w:sz w:val="28"/>
          <w:szCs w:val="28"/>
          <w:highlight w:val="white"/>
        </w:rPr>
        <w:t xml:space="preserve">м).</w:t>
      </w:r>
      <w:r/>
    </w:p>
    <w:p>
      <w:pPr>
        <w:ind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Общий миграционный прирост в 2022 году составил 152 чел., или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77,2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% к уровню 2021 года. В 2023 году ожидается мигр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ационное увеличение населения, прирост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составит - 276 чел.</w:t>
      </w:r>
      <w:r/>
    </w:p>
    <w:p>
      <w:pPr>
        <w:ind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Прогнозируемый миграционный прирост в  2023 году –276 чел., или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181,5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% к уровню 2022 г., в 2024 году – 467 чел., или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169,2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% к уровню 2023 г., в 2025–558 чел., или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119,5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% к уровню 2024 года,</w:t>
      </w:r>
      <w:r>
        <w:rPr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в 2026 году – 669 чел., или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119,8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% к уровню 2025 г.</w:t>
      </w:r>
      <w:r>
        <w:rPr>
          <w:highlight w:val="white"/>
        </w:rPr>
        <w:t xml:space="preserve"> </w:t>
      </w:r>
      <w:r/>
    </w:p>
    <w:p>
      <w:pPr>
        <w:ind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Прогнозируется  миграционный прирост населения за счет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развития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деятельности предприятия легкой промышленности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, увеличения количества рабочих мест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ОСП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БТК "Групп"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которое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специализируется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пошив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одежды. Руковод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ство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предприятия привлека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ет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рабочих из других районов и регионов страны. В 2024 году запланировано строительство общежития для работников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предприятия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. На предприятии ООО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"Маранде" продолжается строительство цеха лакирования и литографии жести (мощностью -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5 тыс. листов в час). На предприятии ООО "Южное ААА" продолжа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ются инвестиционные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мероприяти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по закладке с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адов интенсивного типа (яблоня)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, строительств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у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складского здания для хранения фруктов емкостью 1500 тонн". На предприятии в весенне-летний период задействовано около 1000 человек, которые приезжают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на работу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из других районов и регионов России.</w:t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  <w:t xml:space="preserve">Динамика миграционного движения на территории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  <w:t xml:space="preserve">муниципального образования Ленинградский район (чел.)</w:t>
      </w:r>
      <w:r/>
    </w:p>
    <w:p>
      <w:pPr>
        <w:ind w:left="2340" w:firstLine="709"/>
        <w:jc w:val="both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r>
      <w:r/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920"/>
        <w:gridCol w:w="1194"/>
        <w:gridCol w:w="1134"/>
        <w:gridCol w:w="1276"/>
        <w:gridCol w:w="1134"/>
        <w:gridCol w:w="1417"/>
        <w:gridCol w:w="1270"/>
      </w:tblGrid>
      <w:tr>
        <w:trPr>
          <w:jc w:val="center"/>
        </w:trPr>
        <w:tc>
          <w:tcPr>
            <w:tcW w:w="192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Показатель</w:t>
            </w:r>
            <w:r/>
          </w:p>
        </w:tc>
        <w:tc>
          <w:tcPr>
            <w:tcW w:w="119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2021 г.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2022 г.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2023 г.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2024 г.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2025 г.</w:t>
            </w:r>
            <w:r/>
          </w:p>
        </w:tc>
        <w:tc>
          <w:tcPr>
            <w:tcW w:w="127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2026 г.</w:t>
            </w:r>
            <w:r/>
          </w:p>
        </w:tc>
      </w:tr>
      <w:tr>
        <w:trPr>
          <w:jc w:val="center"/>
          <w:trHeight w:val="914"/>
        </w:trPr>
        <w:tc>
          <w:tcPr>
            <w:tcW w:w="192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highlight w:val="white"/>
                <w:lang w:eastAsia="ru-RU"/>
              </w:rPr>
              <w:t xml:space="preserve">Прибытие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highlight w:val="white"/>
                <w:lang w:eastAsia="ru-RU"/>
              </w:rPr>
              <w:t xml:space="preserve">на территорию</w:t>
            </w:r>
            <w:r/>
          </w:p>
        </w:tc>
        <w:tc>
          <w:tcPr>
            <w:tcW w:w="119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Arial Cyr" w:cs="Times New Roman"/>
                <w:color w:val="000000"/>
                <w:sz w:val="28"/>
                <w:szCs w:val="28"/>
                <w:highlight w:val="white"/>
              </w:rPr>
              <w:t xml:space="preserve">1674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Arial Cyr" w:cs="Times New Roman"/>
                <w:color w:val="000000"/>
                <w:sz w:val="28"/>
                <w:szCs w:val="28"/>
                <w:highlight w:val="white"/>
              </w:rPr>
              <w:t xml:space="preserve">1617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Arial Cyr" w:cs="Times New Roman"/>
                <w:color w:val="000000"/>
                <w:sz w:val="28"/>
                <w:szCs w:val="28"/>
                <w:highlight w:val="white"/>
              </w:rPr>
              <w:t xml:space="preserve">1300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Arial Cyr" w:cs="Times New Roman"/>
                <w:color w:val="000000"/>
                <w:sz w:val="28"/>
                <w:szCs w:val="28"/>
                <w:highlight w:val="white"/>
              </w:rPr>
              <w:t xml:space="preserve">1980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Arial Cyr" w:cs="Times New Roman"/>
                <w:color w:val="000000"/>
                <w:sz w:val="28"/>
                <w:szCs w:val="28"/>
                <w:highlight w:val="white"/>
              </w:rPr>
              <w:t xml:space="preserve">2008</w:t>
            </w:r>
            <w:r/>
          </w:p>
        </w:tc>
        <w:tc>
          <w:tcPr>
            <w:tcW w:w="12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Arial Cyr" w:cs="Times New Roman"/>
                <w:color w:val="000000"/>
                <w:sz w:val="28"/>
                <w:szCs w:val="28"/>
                <w:highlight w:val="white"/>
              </w:rPr>
              <w:t xml:space="preserve">2089</w:t>
            </w:r>
            <w:r/>
          </w:p>
        </w:tc>
      </w:tr>
      <w:tr>
        <w:trPr>
          <w:jc w:val="center"/>
        </w:trPr>
        <w:tc>
          <w:tcPr>
            <w:tcW w:w="192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highlight w:val="white"/>
                <w:lang w:eastAsia="ru-RU"/>
              </w:rPr>
              <w:t xml:space="preserve">Выбытие за пределы территории</w:t>
            </w:r>
            <w:r/>
          </w:p>
        </w:tc>
        <w:tc>
          <w:tcPr>
            <w:tcW w:w="119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Arial Cyr" w:cs="Times New Roman"/>
                <w:color w:val="000000"/>
                <w:sz w:val="28"/>
                <w:szCs w:val="28"/>
                <w:highlight w:val="white"/>
              </w:rPr>
              <w:t xml:space="preserve">-1477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Arial Cyr" w:cs="Times New Roman"/>
                <w:color w:val="000000"/>
                <w:sz w:val="28"/>
                <w:szCs w:val="28"/>
                <w:highlight w:val="white"/>
              </w:rPr>
              <w:t xml:space="preserve">-1465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Arial Cyr" w:cs="Times New Roman"/>
                <w:color w:val="000000"/>
                <w:sz w:val="28"/>
                <w:szCs w:val="28"/>
                <w:highlight w:val="white"/>
              </w:rPr>
              <w:t xml:space="preserve">-1024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Arial Cyr" w:cs="Times New Roman"/>
                <w:color w:val="000000"/>
                <w:sz w:val="28"/>
                <w:szCs w:val="28"/>
                <w:highlight w:val="white"/>
              </w:rPr>
              <w:t xml:space="preserve">-1513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Arial Cyr" w:cs="Times New Roman"/>
                <w:color w:val="000000"/>
                <w:sz w:val="28"/>
                <w:szCs w:val="28"/>
                <w:highlight w:val="white"/>
              </w:rPr>
              <w:t xml:space="preserve">-1450</w:t>
            </w:r>
            <w:r/>
          </w:p>
        </w:tc>
        <w:tc>
          <w:tcPr>
            <w:tcW w:w="12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Arial Cyr" w:cs="Times New Roman"/>
                <w:color w:val="000000"/>
                <w:sz w:val="28"/>
                <w:szCs w:val="28"/>
                <w:highlight w:val="white"/>
              </w:rPr>
              <w:t xml:space="preserve">-1420</w:t>
            </w:r>
            <w:r/>
          </w:p>
        </w:tc>
      </w:tr>
      <w:tr>
        <w:trPr>
          <w:jc w:val="center"/>
        </w:trPr>
        <w:tc>
          <w:tcPr>
            <w:tcW w:w="1920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/>
          </w:p>
        </w:tc>
        <w:tc>
          <w:tcPr>
            <w:tcW w:w="11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+197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+152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+213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+530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+558</w:t>
            </w:r>
            <w:r/>
          </w:p>
        </w:tc>
        <w:tc>
          <w:tcPr>
            <w:tcW w:w="12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+669</w:t>
            </w:r>
            <w:r/>
          </w:p>
        </w:tc>
      </w:tr>
    </w:tbl>
    <w:p>
      <w:pPr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        </w:t>
      </w:r>
      <w:r/>
    </w:p>
    <w:p>
      <w:pPr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          Президент России Владимир Путин среди 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  <w:lang w:eastAsia="ru-RU"/>
        </w:rPr>
        <w:t xml:space="preserve">главных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  <w:lang w:eastAsia="ru-RU"/>
        </w:rPr>
        <w:t xml:space="preserve">задач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для правительства РФ обозначил обеспечение устойчивого естественного 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  <w:lang w:eastAsia="ru-RU"/>
        </w:rPr>
        <w:t xml:space="preserve">роста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численности 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  <w:lang w:eastAsia="ru-RU"/>
        </w:rPr>
        <w:t xml:space="preserve">населения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страны и 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  <w:lang w:eastAsia="ru-RU"/>
        </w:rPr>
        <w:t xml:space="preserve">увеличение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  <w:lang w:eastAsia="ru-RU"/>
        </w:rPr>
        <w:t xml:space="preserve">продолжительности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  <w:lang w:eastAsia="ru-RU"/>
        </w:rPr>
        <w:t xml:space="preserve">жизни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россиян. В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У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казе главы государства «О национальных целях и стратегических 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  <w:lang w:eastAsia="ru-RU"/>
        </w:rPr>
        <w:t xml:space="preserve">задачах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развития Российской Федерации на период до 2024 года» говорится об обеспечении устойчивого естественного роста численности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населения Российской Федерации,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повышени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ожидаемой продолжительности жизни до 78 лет (к 2030 году - до 80 лет)».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В целях улучшения демографической ситуации в муниципальном образовании Ле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нинградский район проводятся и планируется проведение мероприятий, направленных на стабилизацию численности населения и формирование социально-экономических предпосылок для  последующего демографического роста, укрепление здоровья и увеличение  продолжител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ьности жизни населения, поддержку материнства и детства, развитие системы консультативной и психологической поддержки семьи, в целях создания благоприятного внутрисемейного климата, профилактики семейного неблагополучия, укрепление института семьи и брака.</w:t>
      </w:r>
      <w:r/>
    </w:p>
    <w:p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Основные фонды</w:t>
      </w:r>
      <w:r/>
    </w:p>
    <w:p>
      <w:pPr>
        <w:ind w:firstLine="708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основным фондам относятся здания, сооружения, машины и оборудование (рабочие и силовые машины и оборудование, измерительные и регулирующи</w:t>
      </w:r>
      <w:r>
        <w:rPr>
          <w:rFonts w:ascii="Times New Roman" w:hAnsi="Times New Roman" w:cs="Times New Roman"/>
          <w:sz w:val="28"/>
          <w:szCs w:val="28"/>
        </w:rPr>
        <w:t xml:space="preserve">е приборы и устройства, лабораторное оборудование, вычислительная техника), транспортные средства, инструменты, рабочий и продуктивный скот и другие виды основных фондов по крупным и средним коммерческим и некоммерческим организациям Ленинградского района.</w:t>
      </w:r>
      <w:r/>
    </w:p>
    <w:p>
      <w:pPr>
        <w:ind w:firstLine="708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расчете показателя по крупным и средним коммерческим и некоммерческим организациям использовались</w:t>
      </w:r>
      <w:r>
        <w:rPr>
          <w:rFonts w:ascii="Times New Roman" w:hAnsi="Times New Roman" w:cs="Times New Roman"/>
          <w:sz w:val="28"/>
          <w:szCs w:val="28"/>
        </w:rPr>
        <w:t xml:space="preserve"> данные из форм федерального государственного статистического наблюдения по «чистым» видам экономической деятельности (совокупность производственных единиц, производящих преимущественно однородную продукцию (функциональный подход) по следующим показателям:</w:t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ввод в действие новых основных фондов;</w:t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ликвидировано основных фондов;</w:t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наличие на конец года по остаточной балансовой стоимости;</w:t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учетный износ за год. </w:t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Наличие основных фондов на начало года в прогнозируемом периоде по полной учетной стоимости определено исходя из данных о их наличии на конец года по соответствующему кругу</w:t>
      </w:r>
      <w:r>
        <w:rPr>
          <w:rFonts w:ascii="Times New Roman" w:hAnsi="Times New Roman" w:cs="Times New Roman"/>
          <w:sz w:val="28"/>
          <w:szCs w:val="28"/>
        </w:rPr>
        <w:t xml:space="preserve"> организаций из баланса предыдущего года и коэффициентов переоценки, рассчитанных путем соотношения стоимости основных фондов на начало года, следующего за отчетным, и конца отчетного года, из форм статистического наблюдения за основными фондами.          </w:t>
      </w:r>
      <w:r/>
    </w:p>
    <w:p>
      <w:pPr>
        <w:jc w:val="both"/>
        <w:spacing w:after="0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Наличие основных фондов по полной балансовой стоимости увеличивается на протяжении последних лет (2021 г. - 102,7 %, в 2022 г. – 104,0</w:t>
      </w:r>
      <w:r/>
    </w:p>
    <w:p>
      <w:pPr>
        <w:jc w:val="both"/>
        <w:spacing w:after="0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%). Размер основных фондов увеличился с 15887,0 млн. руб. до 16525,0 млн. руб. Увеличение произошло за счет роста поступления основных фондов (ввод в действие новых основных фондов, приобретение основных фондов).</w:t>
      </w:r>
      <w:r/>
    </w:p>
    <w:p>
      <w:pPr>
        <w:jc w:val="both"/>
        <w:spacing w:after="0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прогнозируемый период (2024 - 2026 годы) планируется положительная динамика наличия основных фондов соответственно на начало 2024 г. - 20219,0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млн. руб., 2025г. - 22399,0 млн. руб., 2025 г. – 24839,0 млн. руб.</w:t>
      </w:r>
      <w:r/>
    </w:p>
    <w:p>
      <w:pPr>
        <w:jc w:val="both"/>
        <w:spacing w:after="0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Поступление основных фондов за отчетный 2022 год составило 2157,0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млн. руб. или 105,6 % к уровню 2021 года</w:t>
      </w:r>
      <w:r>
        <w:rPr>
          <w:rFonts w:ascii="Times New Roman" w:hAnsi="Times New Roman" w:cs="Times New Roman"/>
          <w:sz w:val="28"/>
          <w:szCs w:val="28"/>
        </w:rPr>
        <w:t xml:space="preserve">. Рост поступления основных фондов за отчетный период 2022 год произошел за счет: приобретения НАО "Ленинградское ДРСУ"  дорожно-строительной техники, оборудования, специализированного транспорта -12,8 млн.руб., проведения модернизации средств 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ООО "Маранде" - 10,9 млн.руб., приобретения производственного оборудования и транспорта  ООО "Век" 5,0 млн.руб., модернизации производства направленная на увеличение объема производства молочной продукции ЗАО  "Сыркомбинат "Ленинградский"  365,7 млн. руб.</w:t>
      </w:r>
      <w:r/>
    </w:p>
    <w:p>
      <w:pPr>
        <w:jc w:val="both"/>
        <w:spacing w:after="0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2023 году темп роста по полной учетной балансовой стоимости основных фондов на конец года – всего </w:t>
      </w:r>
      <w:r>
        <w:rPr>
          <w:rFonts w:ascii="Times New Roman" w:hAnsi="Times New Roman" w:cs="Times New Roman"/>
          <w:sz w:val="28"/>
          <w:szCs w:val="28"/>
        </w:rPr>
        <w:t xml:space="preserve">составит 110,5 %.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ущественных изменений в отраслевой структуре на прогнозируемый период не планируется.</w:t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Крупные вводные объекты, включая социальные, планируемые к введению в эксплуатацию в прогнозном периоде в соответс</w:t>
      </w:r>
      <w:r>
        <w:rPr>
          <w:rFonts w:ascii="Times New Roman" w:hAnsi="Times New Roman" w:cs="Times New Roman"/>
          <w:sz w:val="28"/>
          <w:szCs w:val="28"/>
        </w:rPr>
        <w:t xml:space="preserve">твии с фактически осуществляемыми мероприятиями  по инвестиционным вложениям в основной капитал, до конца 2025 года хозяйствующими субъектами  района, которые повлияют на положительную динамику (рост наличия основных фондов по полной балансовой стоимости):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проведени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модернизации оборудования, складов и элеватора АО "Уманский элеватор" - 4,3 млн.руб., НАО "Ленинградское ДРСУ"  приобретени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дорожно-строительной техники, оборудования, специализированного транспорта -21,0 млн. руб., проведени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модернизации средств производства ООО "Маранде" - 93,1 млн.руб., строительств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 здания амбулатории врача общей практики (ВОП) х. Западный (заказчик-Служба единого заказчика МО Ленинградский район) - 27,0 млн.руб., реконструкци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и создани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модельной библиотеки в  МБУК «Ленинградская межпоселенческая библиотека» - 5,0 млн.руб., введение в эксплуатацию Центра единоборств в ст. Ленинградской (заказчик-Служба единого заказчика МО Ленинградский район) - 92,4 млн.руб., проведени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модернизации участка системы приемки молока, приемно-аппаратного цеха ЗАО "Сыродельный комбинат "Ленинградский"-183,9 млн.руб.          </w:t>
      </w:r>
      <w:r/>
    </w:p>
    <w:p>
      <w:pPr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Выбытие основных фондов за отчетный год составило 411 млн. руб. или 47,0 % к уровню 2021 года. Выбытие основных средств из организации происходило по следующим актуальным причинам: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ликвидация основных средств из-за физического или морального износа, продажа, частичная ликвидация при реконструкции, списание при проведении инвентаризации.         Коэффициент  обновления  основных  фондов  в отчетном 2022 г. составил 11,4 %, что выше у</w:t>
      </w:r>
      <w:r>
        <w:rPr>
          <w:rFonts w:ascii="Times New Roman" w:hAnsi="Times New Roman" w:cs="Times New Roman"/>
          <w:sz w:val="28"/>
          <w:szCs w:val="28"/>
        </w:rPr>
        <w:t xml:space="preserve">ровня предшествующего года на 4,</w:t>
      </w:r>
      <w:r>
        <w:rPr>
          <w:rFonts w:ascii="Times New Roman" w:hAnsi="Times New Roman" w:cs="Times New Roman"/>
          <w:sz w:val="28"/>
          <w:szCs w:val="28"/>
        </w:rPr>
        <w:t xml:space="preserve">9%. Рост основных средств свидетельствует о том, что предприятия Ле</w:t>
      </w:r>
      <w:r>
        <w:rPr>
          <w:rFonts w:ascii="Times New Roman" w:hAnsi="Times New Roman" w:cs="Times New Roman"/>
          <w:sz w:val="28"/>
          <w:szCs w:val="28"/>
        </w:rPr>
        <w:t xml:space="preserve">нинградского района инвестируют в свою производственную базу, что позволяет увеличивать производственные мощности и реализовывать новые проекты. Однако, рост основных средств может приводить к увеличению накладных расходов на их обслуживание и ремонт.     </w:t>
      </w:r>
      <w:r/>
    </w:p>
    <w:p>
      <w:pPr>
        <w:pStyle w:val="843"/>
        <w:rPr>
          <w:b/>
          <w:szCs w:val="28"/>
          <w:u w:val="single"/>
        </w:rPr>
      </w:pPr>
      <w:r>
        <w:rPr>
          <w:b/>
          <w:szCs w:val="28"/>
        </w:rPr>
        <w:t xml:space="preserve">                                         </w:t>
      </w:r>
      <w:r>
        <w:rPr>
          <w:b/>
          <w:szCs w:val="28"/>
          <w:u w:val="single"/>
        </w:rPr>
        <w:t xml:space="preserve">Санаторно-курортный комплекс</w:t>
      </w:r>
      <w:r/>
    </w:p>
    <w:p>
      <w:pPr>
        <w:pStyle w:val="843"/>
        <w:rPr>
          <w:b/>
          <w:szCs w:val="28"/>
          <w:u w:val="single"/>
        </w:rPr>
      </w:pPr>
      <w:r>
        <w:rPr>
          <w:b/>
          <w:szCs w:val="28"/>
          <w:u w:val="single"/>
        </w:rPr>
      </w:r>
      <w:r/>
    </w:p>
    <w:p>
      <w:pPr>
        <w:pStyle w:val="844"/>
        <w:tabs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Ленинградский район – территория с развитыми событийным, безбар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ерным и иными видами туризма с высококачественными туристскими продуктами, отвечающими современным стандартам качества, ориентированными на создание условий для внутреннего и въездного туризма.</w:t>
      </w:r>
      <w:r/>
    </w:p>
    <w:p>
      <w:pPr>
        <w:pStyle w:val="844"/>
        <w:tabs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Сфера курортно-туристического комплекса в муниципальном образовании представлена гостиничным хозяйством, базами отдыха, туристическими агентствами, детскими оздоровительными лагерями (летними площадками). </w:t>
      </w:r>
      <w:r/>
    </w:p>
    <w:p>
      <w:pPr>
        <w:pStyle w:val="844"/>
        <w:tabs>
          <w:tab w:val="left" w:pos="851" w:leader="none"/>
        </w:tabs>
      </w:pPr>
      <w:r>
        <w:rPr>
          <w:sz w:val="28"/>
          <w:szCs w:val="28"/>
        </w:rPr>
        <w:t xml:space="preserve">           В районе осуществляют деятельность 12 средств размещения, 4 базы отдыха, 1 туристическое агентство:</w:t>
      </w:r>
      <w:r>
        <w:t xml:space="preserve"> </w:t>
      </w:r>
      <w:r/>
    </w:p>
    <w:p>
      <w:pPr>
        <w:pStyle w:val="844"/>
        <w:tabs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Гостиница «Елизавета»;</w:t>
      </w:r>
      <w:r/>
    </w:p>
    <w:p>
      <w:pPr>
        <w:pStyle w:val="844"/>
        <w:tabs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Отель «По пути»;</w:t>
      </w:r>
      <w:r/>
    </w:p>
    <w:p>
      <w:pPr>
        <w:pStyle w:val="844"/>
        <w:tabs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Гостевой дом «Ленинградка»;</w:t>
      </w:r>
      <w:r/>
    </w:p>
    <w:p>
      <w:pPr>
        <w:pStyle w:val="844"/>
        <w:tabs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Гостевой дом «Роза»; </w:t>
      </w:r>
      <w:r/>
    </w:p>
    <w:p>
      <w:pPr>
        <w:pStyle w:val="844"/>
        <w:tabs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Отель «Атмосфера»; </w:t>
      </w:r>
      <w:r/>
    </w:p>
    <w:p>
      <w:pPr>
        <w:pStyle w:val="844"/>
        <w:tabs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Отель «По дороге на Крым»; </w:t>
      </w:r>
      <w:r/>
    </w:p>
    <w:p>
      <w:pPr>
        <w:pStyle w:val="844"/>
        <w:tabs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Мини-гостиница «Старая мельница»;</w:t>
      </w:r>
      <w:r/>
    </w:p>
    <w:p>
      <w:pPr>
        <w:pStyle w:val="844"/>
        <w:tabs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Гостиница «Парус»;</w:t>
      </w:r>
      <w:r/>
    </w:p>
    <w:p>
      <w:pPr>
        <w:pStyle w:val="844"/>
        <w:tabs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Гостиница ИП Фомушкиной И.Н.;</w:t>
      </w:r>
      <w:r/>
    </w:p>
    <w:p>
      <w:pPr>
        <w:pStyle w:val="844"/>
        <w:tabs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Отель «Усадьба»;</w:t>
      </w:r>
      <w:r/>
    </w:p>
    <w:p>
      <w:pPr>
        <w:pStyle w:val="844"/>
        <w:tabs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Отель «Podoroge»;</w:t>
      </w:r>
      <w:r/>
    </w:p>
    <w:p>
      <w:pPr>
        <w:pStyle w:val="844"/>
        <w:tabs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Гостиница «Ленинградская»;</w:t>
      </w:r>
      <w:r/>
    </w:p>
    <w:p>
      <w:pPr>
        <w:pStyle w:val="844"/>
        <w:tabs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База отдыха «Разгуляй»;</w:t>
      </w:r>
      <w:r/>
    </w:p>
    <w:p>
      <w:pPr>
        <w:pStyle w:val="844"/>
        <w:tabs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База отдыха «Хижина рыбака»; </w:t>
      </w:r>
      <w:r/>
    </w:p>
    <w:p>
      <w:pPr>
        <w:pStyle w:val="844"/>
        <w:tabs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База отдыха «Пруд № 8»; </w:t>
      </w:r>
      <w:r/>
    </w:p>
    <w:p>
      <w:pPr>
        <w:pStyle w:val="844"/>
        <w:tabs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База отдыха «Сосновая терасса» в Лаго-Наки;</w:t>
      </w:r>
      <w:r/>
    </w:p>
    <w:p>
      <w:pPr>
        <w:pStyle w:val="844"/>
        <w:tabs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Объект туристского показа «Фазаний питомник»;</w:t>
      </w:r>
      <w:r/>
    </w:p>
    <w:p>
      <w:pPr>
        <w:pStyle w:val="844"/>
        <w:tabs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Туристическое агентство «Розовый слон».</w:t>
      </w:r>
      <w:r/>
    </w:p>
    <w:p>
      <w:pPr>
        <w:pStyle w:val="844"/>
        <w:tabs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Доля организаций частной формы собственности на рынке санаторно-курортных и туристских услуг составляет </w:t>
      </w:r>
      <w:r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100%. </w:t>
      </w:r>
      <w:r/>
    </w:p>
    <w:p>
      <w:pPr>
        <w:pStyle w:val="843"/>
        <w:jc w:val="both"/>
        <w:tabs>
          <w:tab w:val="left" w:pos="709" w:leader="none"/>
          <w:tab w:val="left" w:pos="851" w:leader="none"/>
        </w:tabs>
        <w:rPr>
          <w:szCs w:val="28"/>
        </w:rPr>
      </w:pPr>
      <w:r>
        <w:rPr>
          <w:bCs/>
          <w:szCs w:val="28"/>
        </w:rPr>
        <w:t xml:space="preserve">          Количество организаций в комплексе Ленинградского района – всего</w:t>
      </w:r>
      <w:r>
        <w:rPr>
          <w:b/>
          <w:bCs/>
          <w:szCs w:val="28"/>
        </w:rPr>
        <w:t xml:space="preserve"> </w:t>
      </w:r>
      <w:r>
        <w:rPr>
          <w:szCs w:val="28"/>
        </w:rPr>
        <w:t xml:space="preserve">в 2021 году составил 73 единицы, или 121,6 % к уровню 2020 года, в 2022 году –7</w:t>
      </w:r>
      <w:r>
        <w:rPr>
          <w:szCs w:val="28"/>
        </w:rPr>
        <w:t xml:space="preserve">8 единиц, или 106,8 % к уровню 2021 года. В прогнозируемом периоде на 2024 год составит 79 единиц, или 101,3 % к уровню 2023г., на 2025 год составит 81 единицу или 102,5 % к уровню 2024 года, на 2026 год составит 82 единицы, или 101,2 % к уровню 2025 года.</w:t>
      </w:r>
      <w:r/>
    </w:p>
    <w:p>
      <w:pPr>
        <w:pStyle w:val="843"/>
        <w:jc w:val="both"/>
        <w:tabs>
          <w:tab w:val="left" w:pos="709" w:leader="none"/>
          <w:tab w:val="left" w:pos="851" w:leader="none"/>
        </w:tabs>
        <w:rPr>
          <w:szCs w:val="28"/>
        </w:rPr>
      </w:pPr>
      <w:r>
        <w:rPr>
          <w:szCs w:val="28"/>
        </w:rPr>
        <w:t xml:space="preserve">          В </w:t>
      </w:r>
      <w:r>
        <w:rPr>
          <w:szCs w:val="28"/>
        </w:rPr>
        <w:t xml:space="preserve">прогнозируемом периоде планируется положительная динамика количества организаций в комплексе за счет введения в эксплуатацию коллективных средств размещения, находящихся в процессе строительства: магазин с гостиничными номерами на 2-м этаже (Гарбар Е.В.), </w:t>
      </w:r>
      <w:r/>
    </w:p>
    <w:p>
      <w:pPr>
        <w:pStyle w:val="843"/>
        <w:jc w:val="both"/>
        <w:tabs>
          <w:tab w:val="left" w:pos="709" w:leader="none"/>
          <w:tab w:val="left" w:pos="851" w:leader="none"/>
        </w:tabs>
        <w:rPr>
          <w:szCs w:val="28"/>
        </w:rPr>
      </w:pPr>
      <w:r>
        <w:rPr>
          <w:szCs w:val="28"/>
        </w:rPr>
        <w:t xml:space="preserve">здание общежития (Федоров А.А.), </w:t>
      </w:r>
      <w:r/>
    </w:p>
    <w:p>
      <w:pPr>
        <w:pStyle w:val="843"/>
        <w:jc w:val="both"/>
        <w:tabs>
          <w:tab w:val="left" w:pos="709" w:leader="none"/>
          <w:tab w:val="left" w:pos="851" w:leader="none"/>
        </w:tabs>
        <w:rPr>
          <w:szCs w:val="28"/>
        </w:rPr>
      </w:pPr>
      <w:r>
        <w:rPr>
          <w:szCs w:val="28"/>
        </w:rPr>
        <w:t xml:space="preserve">реализации инвестиционного проекта  - «Строительство гостиничного комплекса с автосервисом в пос. Октябрьском».</w:t>
      </w:r>
      <w:r/>
    </w:p>
    <w:p>
      <w:pPr>
        <w:pStyle w:val="843"/>
        <w:jc w:val="both"/>
        <w:tabs>
          <w:tab w:val="left" w:pos="709" w:leader="none"/>
          <w:tab w:val="left" w:pos="851" w:leader="none"/>
        </w:tabs>
        <w:rPr>
          <w:szCs w:val="28"/>
        </w:rPr>
      </w:pPr>
      <w:r>
        <w:rPr>
          <w:szCs w:val="28"/>
        </w:rPr>
        <w:t xml:space="preserve">          Увеличение показателя в отчетном периоде связано с возобновлением деятельности средств размещения в связи со снятием ограничений пандемии, роста количества отдыхающих, а также роста количества школьных лагерей.</w:t>
      </w:r>
      <w:r/>
    </w:p>
    <w:p>
      <w:pPr>
        <w:jc w:val="both"/>
        <w:spacing w:line="240" w:lineRule="auto"/>
        <w:tabs>
          <w:tab w:val="left" w:pos="709" w:leader="none"/>
          <w:tab w:val="left" w:pos="851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2021 году</w:t>
      </w:r>
      <w:r>
        <w:rPr>
          <w:rFonts w:ascii="Times New Roman" w:hAnsi="Times New Roman"/>
          <w:bCs/>
          <w:sz w:val="28"/>
          <w:szCs w:val="28"/>
        </w:rPr>
        <w:t xml:space="preserve"> количество мест в </w:t>
      </w:r>
      <w:r>
        <w:rPr>
          <w:rFonts w:ascii="Times New Roman" w:hAnsi="Times New Roman"/>
          <w:bCs/>
          <w:iCs/>
          <w:sz w:val="28"/>
          <w:szCs w:val="28"/>
        </w:rPr>
        <w:t xml:space="preserve">коллективных средствах размещения составило </w:t>
      </w:r>
      <w:r>
        <w:rPr>
          <w:rFonts w:ascii="Times New Roman" w:hAnsi="Times New Roman"/>
          <w:sz w:val="28"/>
          <w:szCs w:val="28"/>
        </w:rPr>
        <w:t xml:space="preserve">156 единиц, или 143,1 % к уровню 2020 года, в 2022 году 268 единиц, или 171,8% к уровню 2022 года.</w:t>
      </w:r>
      <w:r/>
    </w:p>
    <w:p>
      <w:pPr>
        <w:jc w:val="both"/>
        <w:spacing w:line="240" w:lineRule="auto"/>
        <w:tabs>
          <w:tab w:val="left" w:pos="709" w:leader="none"/>
          <w:tab w:val="left" w:pos="851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Ожидаемое количество м</w:t>
      </w:r>
      <w:r>
        <w:rPr>
          <w:rFonts w:ascii="Times New Roman" w:hAnsi="Times New Roman"/>
          <w:sz w:val="28"/>
          <w:szCs w:val="28"/>
        </w:rPr>
        <w:t xml:space="preserve">ест в прогнозируемом периоде в 2023 году составит – 270 единиц, или 100,7% к уровню 2022 года, в 2024 году – 310 единиц, или 114,8% к уровню 2023 года, в 2025 году – 320 единиц, или 103,2% к уровню 2024 года, в 2026 году составит – 335 единиц, или 104,7%. </w:t>
      </w:r>
      <w:r/>
    </w:p>
    <w:p>
      <w:pPr>
        <w:jc w:val="both"/>
        <w:spacing w:line="240" w:lineRule="auto"/>
        <w:tabs>
          <w:tab w:val="left" w:pos="709" w:leader="none"/>
          <w:tab w:val="left" w:pos="851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Положительная динамика в 2022 году связана с увеличением туристического потока, в 2023 году – размещением граждан из новых территорий РФ, увеличением туристического потока в Крымском и Азовском направлениях. </w:t>
      </w:r>
      <w:r/>
    </w:p>
    <w:p>
      <w:pPr>
        <w:pStyle w:val="843"/>
        <w:jc w:val="both"/>
        <w:tabs>
          <w:tab w:val="left" w:pos="709" w:leader="none"/>
        </w:tabs>
        <w:rPr>
          <w:szCs w:val="28"/>
        </w:rPr>
      </w:pPr>
      <w:r>
        <w:rPr>
          <w:szCs w:val="28"/>
        </w:rPr>
        <w:t xml:space="preserve">          Количество отдыхающих – всего в 2021 году составил 8,5 тыс. человек, или 90,3 % к уровню 2020 года, в 2022 году 26,7 тыс. человек, или в 3,2 раза к уровню 2021 года.</w:t>
      </w:r>
      <w:r/>
    </w:p>
    <w:p>
      <w:pPr>
        <w:pStyle w:val="843"/>
        <w:jc w:val="both"/>
        <w:tabs>
          <w:tab w:val="left" w:pos="709" w:leader="none"/>
        </w:tabs>
      </w:pPr>
      <w:r>
        <w:rPr>
          <w:szCs w:val="28"/>
        </w:rPr>
        <w:t xml:space="preserve">         Ожидаемое количество отдыхающих в 2023 году – 27,4 тыс. человек, или 102,7 % к ур</w:t>
      </w:r>
      <w:r>
        <w:rPr>
          <w:szCs w:val="28"/>
        </w:rPr>
        <w:t xml:space="preserve">овню 2022 года, в прогнозируемом периоде количество отдыхающих в 2024 году – 28,1 тыс. человек, или 102,6 % к уровню 2023 года, в 2025 году - 29,0 тыс. человек, или 103,2 % к уровню 2024 года, в 2026 году – 29,7 тыс. человек, или 102,4% к уровню 2025 года.</w:t>
      </w:r>
      <w:r>
        <w:t xml:space="preserve"> </w:t>
      </w:r>
      <w:r/>
    </w:p>
    <w:p>
      <w:pPr>
        <w:pStyle w:val="843"/>
        <w:jc w:val="both"/>
        <w:spacing w:line="240" w:lineRule="atLeast"/>
        <w:tabs>
          <w:tab w:val="left" w:pos="709" w:leader="none"/>
        </w:tabs>
        <w:rPr>
          <w:szCs w:val="28"/>
        </w:rPr>
      </w:pPr>
      <w:r>
        <w:t xml:space="preserve">        </w:t>
      </w:r>
      <w:r>
        <w:rPr>
          <w:szCs w:val="28"/>
        </w:rPr>
        <w:t xml:space="preserve">Положительная динамика количества отдыхающих в 20</w:t>
      </w:r>
      <w:r>
        <w:rPr>
          <w:szCs w:val="28"/>
        </w:rPr>
        <w:t xml:space="preserve">22 году связана с также с увеличением туристического потока, возобновлением деятельности базы отдыха «Сосновая терраса», в 2023 году – размещением граждан из новых территорий РФ, увеличением туристического потока в Крымском и Азовском направлениях.        </w:t>
      </w:r>
      <w:r/>
    </w:p>
    <w:p>
      <w:pPr>
        <w:pStyle w:val="843"/>
        <w:jc w:val="both"/>
        <w:spacing w:line="240" w:lineRule="atLeast"/>
        <w:tabs>
          <w:tab w:val="left" w:pos="709" w:leader="none"/>
          <w:tab w:val="left" w:pos="851" w:leader="none"/>
        </w:tabs>
        <w:rPr>
          <w:szCs w:val="28"/>
        </w:rPr>
      </w:pPr>
      <w:r>
        <w:rPr>
          <w:szCs w:val="28"/>
        </w:rPr>
        <w:t xml:space="preserve">          Доходы предприятий санаторно-курортного комплекса, с учетом доходов малых предприятий  курортно-туристического комплекса в 2021 году составили 13,2 млн</w:t>
      </w:r>
      <w:r>
        <w:rPr>
          <w:szCs w:val="28"/>
        </w:rPr>
        <w:t xml:space="preserve">. руб., или 190,5 % к уровню 2020 года, в  2022 году составили  33,8 млн. руб., или  в 2,6 раз к уровню 2021 года, ожидаемый объем доходов в 2023 году –34,7 млн. руб., или 102,6 % в действующих ценах к уровню 2022 года, прогнозируемый объем в 2024 году – 3</w:t>
      </w:r>
      <w:r>
        <w:rPr>
          <w:szCs w:val="28"/>
        </w:rPr>
        <w:t xml:space="preserve">6</w:t>
      </w:r>
      <w:r>
        <w:rPr>
          <w:szCs w:val="28"/>
        </w:rPr>
        <w:t xml:space="preserve">,1 млн. руб., или 10</w:t>
      </w:r>
      <w:r>
        <w:rPr>
          <w:szCs w:val="28"/>
        </w:rPr>
        <w:t xml:space="preserve">4,1</w:t>
      </w:r>
      <w:r>
        <w:rPr>
          <w:szCs w:val="28"/>
        </w:rPr>
        <w:t xml:space="preserve">% к уровню 2023 года, в 2025 году – </w:t>
      </w:r>
      <w:r>
        <w:rPr>
          <w:szCs w:val="28"/>
        </w:rPr>
        <w:t xml:space="preserve">38,0</w:t>
      </w:r>
      <w:r>
        <w:rPr>
          <w:szCs w:val="28"/>
        </w:rPr>
        <w:t xml:space="preserve"> млн. руб., или 10</w:t>
      </w:r>
      <w:r>
        <w:rPr>
          <w:szCs w:val="28"/>
        </w:rPr>
        <w:t xml:space="preserve">5,2</w:t>
      </w:r>
      <w:r>
        <w:rPr>
          <w:szCs w:val="28"/>
        </w:rPr>
        <w:t xml:space="preserve"> % к уровню 2024 года, в 2026 году – </w:t>
      </w:r>
      <w:r>
        <w:rPr>
          <w:szCs w:val="28"/>
        </w:rPr>
        <w:t xml:space="preserve">40,5</w:t>
      </w:r>
      <w:r>
        <w:rPr>
          <w:szCs w:val="28"/>
        </w:rPr>
        <w:t xml:space="preserve"> млн. руб., или 10</w:t>
      </w:r>
      <w:r>
        <w:rPr>
          <w:szCs w:val="28"/>
        </w:rPr>
        <w:t xml:space="preserve">6,7</w:t>
      </w:r>
      <w:r>
        <w:rPr>
          <w:szCs w:val="28"/>
        </w:rPr>
        <w:t xml:space="preserve">% к уровню 2025 года.</w:t>
      </w:r>
      <w:r/>
    </w:p>
    <w:p>
      <w:pPr>
        <w:ind w:firstLine="709"/>
        <w:jc w:val="both"/>
        <w:spacing w:after="0" w:line="240" w:lineRule="atLeast"/>
        <w:tabs>
          <w:tab w:val="left" w:pos="851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транспортной инфраструктуры повышает уровень доступности территории, что позволяет формировать новые автомобильные туристские маршруты и значительно увеличивать туристский поток. </w:t>
      </w:r>
      <w:r/>
    </w:p>
    <w:p>
      <w:pPr>
        <w:ind w:firstLine="709"/>
        <w:jc w:val="both"/>
        <w:spacing w:after="0" w:line="240" w:lineRule="atLeast"/>
        <w:tabs>
          <w:tab w:val="left" w:pos="851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прогнозируемом периоде ожидается увеличение туристического потока и доходов предприятий санаторно-курортной сферы.</w:t>
      </w:r>
      <w:r/>
    </w:p>
    <w:p>
      <w:pPr>
        <w:ind w:firstLine="709"/>
        <w:jc w:val="both"/>
        <w:spacing w:after="0" w:line="240" w:lineRule="atLeast"/>
        <w:tabs>
          <w:tab w:val="left" w:pos="851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Туристические прибытия из других населённых пунктов Краснодарского края также обусловлены посещением соревнований по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боксу, гандболу, волейболу, настольному теннису, академической гребле, которые проходят на базе спортивного комплекса «Лидер», гребной базы школы Олимпийского резерва.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На базе академической гребли станицы Ленинградской краевой детско-юношеской общественной организацией «Азбука туризма» проводилось тренировочное занятие для учащихся отделения спортивного туризма МБУДО ДЮСШ.</w:t>
      </w:r>
      <w:r/>
    </w:p>
    <w:p>
      <w:pPr>
        <w:ind w:firstLine="709"/>
        <w:jc w:val="both"/>
        <w:spacing w:after="0" w:line="240" w:lineRule="atLeast"/>
        <w:tabs>
          <w:tab w:val="left" w:pos="851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Благодаря участию в федеральном проекте «Спорт - норма жизни» продолжается строительство центра единоборств, расположенного на территории центрального стадиона, что в дальнейшем увеличит число прибытий на территорию Ленинградского района. </w:t>
      </w:r>
      <w:r/>
    </w:p>
    <w:p>
      <w:pPr>
        <w:ind w:firstLine="709"/>
        <w:jc w:val="both"/>
        <w:spacing w:after="0" w:line="240" w:lineRule="atLeast"/>
        <w:tabs>
          <w:tab w:val="left" w:pos="851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Продолжится увеличение количества отдыхающих в связи с размещением в КСР граждан из новых террит</w:t>
      </w:r>
      <w:r>
        <w:rPr>
          <w:rFonts w:ascii="Times New Roman" w:hAnsi="Times New Roman"/>
          <w:sz w:val="28"/>
          <w:szCs w:val="28"/>
        </w:rPr>
        <w:t xml:space="preserve">орий РФ, увеличением туристического потока в Крымском и Азовском направлениях, в том числе в связи с перспективным развитием туристских территорий – инвестиционным проектом по развитию национального туристического маршрута «Азов» в направлении «СЕВЕР-ЮГ». </w:t>
      </w:r>
      <w:r/>
    </w:p>
    <w:p>
      <w:pPr>
        <w:jc w:val="both"/>
        <w:spacing w:after="0" w:line="240" w:lineRule="atLeast"/>
        <w:tabs>
          <w:tab w:val="left" w:pos="851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 2024 - 2026 году планируется реализация проектов, в том числе инвестиционных,  связанных со строительством реконструкцией, вводом в эксплуатацию КСР.</w:t>
      </w:r>
      <w:r/>
    </w:p>
    <w:p>
      <w:pPr>
        <w:ind w:firstLine="709"/>
        <w:jc w:val="both"/>
        <w:spacing w:after="0" w:line="240" w:lineRule="atLeast"/>
        <w:tabs>
          <w:tab w:val="left" w:pos="851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 учетом имеющихся ресурсных предпосылок (установке информационных указателей к объектам культурного наследия, объектам туристического показа, увеличением потребительского спроса на гостиничные услуги с учетом проезда отдыхающих ч</w:t>
      </w:r>
      <w:r>
        <w:rPr>
          <w:rFonts w:ascii="Times New Roman" w:hAnsi="Times New Roman"/>
          <w:sz w:val="28"/>
          <w:szCs w:val="28"/>
        </w:rPr>
        <w:t xml:space="preserve">ерез Ленинградский район в Крым, на Азовское побережье, наличие большого числа памятников архитектуры, создание инфраструктуры для активного отдыха (рыбалка, охота), специализации рекреационного комплекса (создание объекта – набережная центрального водоема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в рамках программы «Формирование комфортной городской среды») и тенденций на рынке туристических услуг, ожидается развитие разнообразных видов туризма, увеличени</w:t>
      </w:r>
      <w:r>
        <w:rPr>
          <w:rFonts w:ascii="Times New Roman" w:hAnsi="Times New Roman"/>
          <w:sz w:val="28"/>
          <w:szCs w:val="28"/>
        </w:rPr>
        <w:t xml:space="preserve">е потока туристов, желающих познакомиться с достопримечательностями и культурными памятниками Ленинградского района, а также отдохнуть в культурно-развлекательных и оздоровительных центрах района, создание которых запланированы в среднесрочной перспективе.</w:t>
      </w:r>
      <w:r/>
    </w:p>
    <w:p>
      <w:pPr>
        <w:jc w:val="both"/>
        <w:spacing w:after="0" w:line="240" w:lineRule="atLeast"/>
        <w:tabs>
          <w:tab w:val="left" w:pos="70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перспективном периоде доходы предприятий увеличатся за счет:</w:t>
      </w:r>
      <w:r/>
    </w:p>
    <w:p>
      <w:pPr>
        <w:jc w:val="both"/>
        <w:spacing w:after="0" w:line="240" w:lineRule="atLeast"/>
        <w:tabs>
          <w:tab w:val="left" w:pos="70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величения туристического потока; </w:t>
      </w:r>
      <w:r/>
    </w:p>
    <w:p>
      <w:pPr>
        <w:jc w:val="both"/>
        <w:spacing w:after="0" w:line="240" w:lineRule="atLeast"/>
        <w:tabs>
          <w:tab w:val="left" w:pos="70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</w:t>
      </w:r>
      <w:r>
        <w:rPr>
          <w:rFonts w:ascii="Times New Roman" w:hAnsi="Times New Roman"/>
          <w:sz w:val="28"/>
          <w:szCs w:val="28"/>
        </w:rPr>
        <w:t xml:space="preserve">б</w:t>
      </w:r>
      <w:r>
        <w:rPr>
          <w:rFonts w:ascii="Times New Roman" w:hAnsi="Times New Roman"/>
          <w:sz w:val="28"/>
          <w:szCs w:val="28"/>
        </w:rPr>
        <w:t xml:space="preserve">лагодаря участию в национальном проекте "Туризм и индустрия гостеприимства";</w:t>
      </w:r>
      <w:r/>
    </w:p>
    <w:p>
      <w:pPr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3) 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оздани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 и развити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 туристской инфраструктуры в муниципальном образовании (строительство новых средств размещения, объектов туристического показа, зон отдыха, спортивных комплексов); </w:t>
      </w:r>
      <w:r/>
    </w:p>
    <w:p>
      <w:pPr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Создания  туристического маршрута «Азов»</w:t>
      </w:r>
      <w:r>
        <w:rPr>
          <w:rFonts w:ascii="Times New Roman" w:hAnsi="Times New Roman"/>
          <w:sz w:val="28"/>
          <w:szCs w:val="28"/>
        </w:rPr>
        <w:t xml:space="preserve"> в непосредственной близости от Ленинградского района</w:t>
      </w:r>
      <w:r>
        <w:rPr>
          <w:rFonts w:ascii="Times New Roman" w:hAnsi="Times New Roman"/>
          <w:sz w:val="28"/>
          <w:szCs w:val="28"/>
        </w:rPr>
        <w:t xml:space="preserve">;</w:t>
      </w:r>
      <w:r/>
    </w:p>
    <w:p>
      <w:pPr>
        <w:jc w:val="both"/>
        <w:spacing w:line="240" w:lineRule="auto"/>
        <w:tabs>
          <w:tab w:val="left" w:pos="70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Развитие системы придорожного сервиса путем строительства объектов туристской инфраструктуры, парковочных мест для экскурсионного транспорта, смотровых площадок у объектов туристского показа и санитарных объектов; </w:t>
      </w:r>
      <w:r/>
    </w:p>
    <w:p>
      <w:pPr>
        <w:jc w:val="both"/>
        <w:spacing w:line="240" w:lineRule="auto"/>
        <w:tabs>
          <w:tab w:val="left" w:pos="70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Сохранения мест традиционного бытования народно художественных промыслов, предоставления мер государственной поддержки и развития сети продаж изделий предприятий народно-художественных промыслов.</w:t>
      </w:r>
      <w:r/>
    </w:p>
    <w:p>
      <w:pPr>
        <w:jc w:val="both"/>
        <w:tabs>
          <w:tab w:val="left" w:pos="709" w:leader="none"/>
        </w:tabs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Сельское хозяйство</w:t>
      </w:r>
      <w:r/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в муниципальном образовании Ленинградский район  прои</w:t>
      </w:r>
      <w:r>
        <w:rPr>
          <w:rFonts w:ascii="Times New Roman" w:hAnsi="Times New Roman" w:cs="Times New Roman"/>
          <w:sz w:val="28"/>
          <w:szCs w:val="28"/>
        </w:rPr>
        <w:t xml:space="preserve">зведено 16663,5 млн. рублей продукции сельского хозяйства в действующих ценах, что к уровню 2021 года составляет 106,2 %. Индекс производства продукции сельского хозяйства составил 109,1%, в том числе  в растениеводстве - 110,3 %, в животноводстве -104,0%.</w:t>
      </w:r>
      <w:r/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общего объема сельскохозяйственной продукции в действующих ценах, продукции растениеводства произведено 13472,0 млн. рублей или 80,8 %, продукции животноводства – 3141,5 млн. рублей или 19,2%.</w:t>
      </w:r>
      <w:r/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разрезе категорий сельхозтоваропроизводителей объем производства продукции сельского хозяйства имеет следующую структуру: продукция сельскохозяйственных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- 66,9 %, продукция крестьянских (фермерских) хозяйств и индивидуальных предпринимателей  – 21,1%, продукция хозяйств населения – 12,0 %. </w:t>
      </w:r>
      <w:r/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в сравнении с 2021 годом из-за  снижения урожайности сельскохозяйственных культур снижено производ</w:t>
      </w:r>
      <w:r>
        <w:rPr>
          <w:rFonts w:ascii="Times New Roman" w:hAnsi="Times New Roman" w:cs="Times New Roman"/>
          <w:sz w:val="28"/>
          <w:szCs w:val="28"/>
        </w:rPr>
        <w:t xml:space="preserve">ство картофеля и винограда в хозяйствах населения   на 1,7% и 22,4% соответственно. В связи с уменьшением посевных площадей снизилось производство зерна на 0,1% и подсолнечника на 4,5%. Увеличилось производство сахарной свеклы, рапса, сои, плодов и овощей.</w:t>
      </w:r>
      <w:r/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в хозяйствах населения уменьшилось производство молока  н из-за снижения поголовья коров и  </w:t>
      </w:r>
      <w:r>
        <w:rPr>
          <w:rFonts w:ascii="Times New Roman" w:hAnsi="Times New Roman" w:cs="Times New Roman"/>
          <w:sz w:val="28"/>
          <w:szCs w:val="28"/>
        </w:rPr>
        <w:t xml:space="preserve">количества </w:t>
      </w:r>
      <w:r>
        <w:rPr>
          <w:rFonts w:ascii="Times New Roman" w:hAnsi="Times New Roman" w:cs="Times New Roman"/>
          <w:sz w:val="28"/>
          <w:szCs w:val="28"/>
        </w:rPr>
        <w:t xml:space="preserve">яиц из-за снижения среднегодового поголовья взрослой птицы. </w:t>
      </w:r>
      <w:r/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конец 2022 года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 снижено поголовье всех видов сельскохозяйственных животных и птицы, в том числе: </w:t>
      </w:r>
      <w:r>
        <w:rPr>
          <w:rFonts w:ascii="Times New Roman" w:hAnsi="Times New Roman" w:cs="Times New Roman"/>
          <w:sz w:val="28"/>
          <w:szCs w:val="28"/>
        </w:rPr>
        <w:t xml:space="preserve">поголовье КРС, из них коров – из-за проведения мероприятий по оздоровлению стада от лейкоза; поголовье свиней  снизилось в АО «Ленинградское» в связи с сокращением постановочных мест  из-за необходимости реконструкции части старых корпусов; поголовье птицы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из-за реализации  птицы на выращивании  в конце года; поголовье овец и коз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-из-за удорожания стоимости кормов.</w:t>
      </w:r>
      <w:r/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во всех категориях хозя</w:t>
      </w:r>
      <w:r>
        <w:rPr>
          <w:rFonts w:ascii="Times New Roman" w:hAnsi="Times New Roman" w:cs="Times New Roman"/>
          <w:sz w:val="28"/>
          <w:szCs w:val="28"/>
        </w:rPr>
        <w:t xml:space="preserve">йств муниципального образования, </w:t>
      </w:r>
      <w:r>
        <w:rPr>
          <w:rFonts w:ascii="Times New Roman" w:hAnsi="Times New Roman" w:cs="Times New Roman"/>
          <w:sz w:val="28"/>
          <w:szCs w:val="28"/>
        </w:rPr>
        <w:t xml:space="preserve">сельскохозяйственные культуры размещены на площади 109,4 тысяч гектаров  (923 г</w:t>
      </w:r>
      <w:r>
        <w:rPr>
          <w:rFonts w:ascii="Times New Roman" w:hAnsi="Times New Roman" w:cs="Times New Roman"/>
          <w:sz w:val="28"/>
          <w:szCs w:val="28"/>
        </w:rPr>
        <w:t xml:space="preserve">ектара к уровню 2022 года). В сравнении с 2022 годом в районе увеличилась площадь сева зерновых культур – на 5373 га, овощей – на 2 га; сократились площади  сева сахарной свеклы – на 507 га, подсолнечника – на 5021 га, сои- на 758 га, картофеля – на 12 га.</w:t>
      </w:r>
      <w:r/>
    </w:p>
    <w:p>
      <w:pPr>
        <w:ind w:firstLine="708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7 месяцев 2023 года в сельхоз организациях произведено: </w:t>
      </w:r>
      <w:r/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4681,4 тонна мяса скота и птицы в живом весе, с темпом роста к аналогичному периоду прошлого года 112%;</w:t>
      </w:r>
      <w:r/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13259 тонн молока, это 110,95% к уровню прошлого года;</w:t>
      </w:r>
      <w:r/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18,1 млн. штук куриных яиц, это 70,8% к уровню прошлого года% .</w:t>
      </w:r>
      <w:r/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оценке  объема производства продукции сельского хозяйства в действующих ценах в 2023 году и  прогнозируемого объема про</w:t>
      </w:r>
      <w:r>
        <w:rPr>
          <w:rFonts w:ascii="Times New Roman" w:hAnsi="Times New Roman" w:cs="Times New Roman"/>
          <w:sz w:val="28"/>
          <w:szCs w:val="28"/>
        </w:rPr>
        <w:t xml:space="preserve">изводства продукции сельского хозяйства на 2024-2026 годы  применялись прогнозные  индексы дефляторы и индексы цен производителей по сельскому хозяйству  до 2026 года. При расчете структуры стоимости валовой продукции  сельского хозяйства  применялись сред</w:t>
      </w:r>
      <w:r>
        <w:rPr>
          <w:rFonts w:ascii="Times New Roman" w:hAnsi="Times New Roman" w:cs="Times New Roman"/>
          <w:sz w:val="28"/>
          <w:szCs w:val="28"/>
        </w:rPr>
        <w:t xml:space="preserve">ние цены реализации согласно «Отчетности о финансово - экономическом состоянии товаропроизводителей агропромышленного комплекса за 2021 год» по отрасли сельское  хозяйство и средние цены производителей сельскохозяйственной продукции по Краснодарскому краю.</w:t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оценке в 2023 году в сельс</w:t>
      </w:r>
      <w:r>
        <w:rPr>
          <w:rFonts w:ascii="Times New Roman" w:hAnsi="Times New Roman" w:cs="Times New Roman"/>
          <w:sz w:val="28"/>
          <w:szCs w:val="28"/>
        </w:rPr>
        <w:t xml:space="preserve">ком хозяйстве в сравнении с 2022 годом прогнозируется снижение индекса производства продукции сельского хозяйства на 7,7 % пункта, в том числе по продукции растениеводства - снижение на 8,2 % пункта,  по продукции животноводства – снижение на 5,2% пункта. </w:t>
      </w:r>
      <w:r/>
    </w:p>
    <w:p>
      <w:pPr>
        <w:ind w:firstLine="708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в отрасли растениеводства в связи увеличением посевных площадей в сравне</w:t>
      </w:r>
      <w:r>
        <w:rPr>
          <w:rFonts w:ascii="Times New Roman" w:hAnsi="Times New Roman" w:cs="Times New Roman"/>
          <w:sz w:val="28"/>
          <w:szCs w:val="28"/>
        </w:rPr>
        <w:t xml:space="preserve">нии с 2022 годом, ожидается увеличение объема производства  овощей. За счет снижения урожайности ожидается снижение производства зерна и плодов.   В связи с уменьшением посевных площадей ожидается снижение производства сахарной свеклы, подсолнечника и сои.</w:t>
      </w:r>
      <w:r>
        <w:rPr>
          <w:rFonts w:ascii="Times New Roman" w:hAnsi="Times New Roman" w:cs="Times New Roman"/>
          <w:sz w:val="28"/>
          <w:szCs w:val="28"/>
        </w:rPr>
        <w:tab/>
      </w:r>
      <w:r/>
    </w:p>
    <w:p>
      <w:pPr>
        <w:ind w:firstLine="708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в отрасли животноводства прогнозируется увеличение производства молока за счет роста продуктивности коров и снижение производства мяса птицы и яиц в ООО «Первомайская ИПС» из-за снижения среднегодового поголовья птицы. </w:t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Численность поголовья свиней, овец и коз, а также птицы  прогнозируется</w:t>
      </w:r>
      <w:r>
        <w:rPr>
          <w:rFonts w:ascii="Times New Roman" w:hAnsi="Times New Roman" w:cs="Times New Roman"/>
          <w:sz w:val="28"/>
          <w:szCs w:val="28"/>
        </w:rPr>
        <w:t xml:space="preserve"> на уровне 2022 года. Планируется снижение поголовья КРС, в том числе коров в АО «Агрокомплекс Павловский» из-за проведения мероприятий по оздоровлению стада от лейкоза. Поголовье коров в этом хозяйстве будет восстановлено до уровня 2022 года в 2024 году. </w:t>
      </w:r>
      <w:r/>
    </w:p>
    <w:p>
      <w:pPr>
        <w:ind w:firstLine="708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В 2023 году с целью увеличения объема производства сельскохозяйственной продукции, сельскохозяйственные товаропроизводители проводят обновление машинотракторного и автомобильного парка.</w:t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В районе все животноводческие фермы  будут подготовлены к зимовке 2023-2024 годов. Для животноводства  на зимовку 2023-2024 годов заготовлены грубые и сочные корма в полном объеме .</w:t>
      </w:r>
      <w:r/>
    </w:p>
    <w:p>
      <w:pPr>
        <w:ind w:firstLine="708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отрасли растениеводства  ведется подготовка к осеннему севу, осенью 2023 года запланировано посеять зерновые культуры на площади 59,2 тысячи гектаров, озимый  рапс на площади 5,75 тысяч гектаров.</w:t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На 2024 год в связи ожидаемым  ростом у</w:t>
      </w:r>
      <w:r>
        <w:rPr>
          <w:rFonts w:ascii="Times New Roman" w:hAnsi="Times New Roman" w:cs="Times New Roman"/>
          <w:sz w:val="28"/>
          <w:szCs w:val="28"/>
        </w:rPr>
        <w:t xml:space="preserve">рожайности сельхоз культур прогнозируется увеличение объема производства продукции растениеводства  на 4,2 % пункта,  в связи с ожидаемым ростом продуктивности и поголовья сельхоз животных, прогнозируется увеличение продукции животноводства на 2,4% пункта.</w:t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 2024-2026 годы в районе прогнозируется увеличение поголовья КРС, коров, свиней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птицы в связи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 наращиванием поголовья свиней в АО 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Ленинградское»,  поголовья птицы  - в ООО «Первомайская ИПС», ООО «Альянс –ДеКар», развитием молочного скотоводства в ОАО « Имени Ильича», ООО «Агрокомплекс Павловский» (ОСП в хуторе Коржи), АО 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Ленинградское», а также увеличением поголовья животных в хозяйствах населения, КФХ и ИП. </w:t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Запланированные на 2024 год показатели </w:t>
      </w:r>
      <w:r>
        <w:rPr>
          <w:rFonts w:ascii="Times New Roman" w:hAnsi="Times New Roman" w:cs="Times New Roman"/>
          <w:sz w:val="28"/>
          <w:szCs w:val="28"/>
        </w:rPr>
        <w:t xml:space="preserve">в отрасли растениеводства будут достигнуты за счет сохранения и повышения плодородия почв, использования семян высоких репродукций, совершенствования технологии возделывания сельскохозяйственных культур, использования достижений сельскохозяйственной науки.</w:t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2025-2026 годах увеличение объема производства продукции сельского хозяйства  прогнозируется достичь за счет интенсивного развития всех категорий хозяйств. В среднем, планиру</w:t>
      </w:r>
      <w:r>
        <w:rPr>
          <w:rFonts w:ascii="Times New Roman" w:hAnsi="Times New Roman" w:cs="Times New Roman"/>
          <w:sz w:val="28"/>
          <w:szCs w:val="28"/>
        </w:rPr>
        <w:t xml:space="preserve">ется ежегодный прирост объема производства продукции сельского хозяйства – 2,5 %, в том числе в растениеводстве – 2,5 %, в животноводстве – 2,4%. К 2026 году прогнозируется производить 19338,6 млн. рублей  продукции сельского хозяйства в действующих ценах.</w:t>
      </w:r>
      <w:r/>
    </w:p>
    <w:p>
      <w:pPr>
        <w:ind w:firstLine="709"/>
        <w:spacing w:after="0" w:line="240" w:lineRule="auto"/>
        <w:tabs>
          <w:tab w:val="left" w:pos="851" w:leader="none"/>
        </w:tabs>
        <w:rPr>
          <w:rFonts w:ascii="Times New Roman CYR" w:hAnsi="Times New Roman CYR" w:eastAsia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 CYR" w:hAnsi="Times New Roman CYR" w:eastAsia="Times New Roman" w:cs="Times New Roman"/>
          <w:b/>
          <w:sz w:val="28"/>
          <w:szCs w:val="28"/>
          <w:u w:val="single"/>
          <w:lang w:eastAsia="ru-RU"/>
        </w:rPr>
      </w:r>
      <w:r/>
    </w:p>
    <w:p>
      <w:pPr>
        <w:ind w:firstLine="709"/>
        <w:spacing w:after="0" w:line="240" w:lineRule="auto"/>
        <w:tabs>
          <w:tab w:val="left" w:pos="851" w:leader="none"/>
        </w:tabs>
        <w:rPr>
          <w:rFonts w:ascii="Times New Roman CYR" w:hAnsi="Times New Roman CYR" w:eastAsia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 CYR" w:hAnsi="Times New Roman CYR" w:eastAsia="Times New Roman" w:cs="Times New Roman"/>
          <w:b/>
          <w:sz w:val="28"/>
          <w:szCs w:val="28"/>
          <w:lang w:eastAsia="ru-RU"/>
        </w:rPr>
        <w:t xml:space="preserve">                             </w:t>
      </w:r>
      <w:r>
        <w:rPr>
          <w:rFonts w:ascii="Times New Roman CYR" w:hAnsi="Times New Roman CYR" w:eastAsia="Times New Roman" w:cs="Times New Roman"/>
          <w:b/>
          <w:sz w:val="28"/>
          <w:szCs w:val="28"/>
          <w:u w:val="single"/>
          <w:lang w:eastAsia="ru-RU"/>
        </w:rPr>
        <w:t xml:space="preserve">Промышленное производство</w:t>
      </w:r>
      <w:r/>
    </w:p>
    <w:p>
      <w:pPr>
        <w:ind w:firstLine="709"/>
        <w:jc w:val="center"/>
        <w:spacing w:after="0" w:line="240" w:lineRule="auto"/>
        <w:rPr>
          <w:rFonts w:ascii="Times New Roman CYR" w:hAnsi="Times New Roman CYR" w:eastAsia="Times New Roman" w:cs="Times New Roman"/>
          <w:b/>
          <w:sz w:val="26"/>
          <w:szCs w:val="28"/>
          <w:lang w:eastAsia="ru-RU"/>
        </w:rPr>
      </w:pPr>
      <w:r>
        <w:rPr>
          <w:rFonts w:ascii="Times New Roman CYR" w:hAnsi="Times New Roman CYR" w:eastAsia="Times New Roman" w:cs="Times New Roman"/>
          <w:b/>
          <w:sz w:val="26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Динамика показателя «Объем отгруженных товаров собственного производства, выполненных работ и услуг собственными силами» за предшествующие три года увеличилась на 9001,5 млн.руб. с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eastAsia="ru-RU"/>
        </w:rPr>
        <w:t xml:space="preserve">10901,4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млн.руб до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eastAsia="ru-RU"/>
        </w:rPr>
        <w:t xml:space="preserve">19902,9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млн.руб. (2020 г. – 92,7%, 2021 г. – 125,6% , 2022 г. – 147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,0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%).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Объем отгруженных товаров собственного производства, выполненных работ и услуг собственными силами по полному кругу предприятий по Ленинградскому району в 2022 году составил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eastAsia="ru-RU"/>
        </w:rPr>
        <w:t xml:space="preserve">19902,9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млн. руб., что в действующих ценах составляет 147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,0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% к уровню 2021 года. 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По категории «Обрабатывающие производства» по крупным и средним предприятиям в 2022 году объем производства составил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eastAsia="ru-RU"/>
        </w:rPr>
        <w:t xml:space="preserve">16648,8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млн. руб. при темпе роста в действующих ценах 146,3 % к уровню 2021 года, в том числе по виду деятельности «Производство пищевых продуктов, включая напитки, и табака» объем отгрузки составил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eastAsia="ru-RU"/>
        </w:rPr>
        <w:t xml:space="preserve">16016,7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млн. руб. при темпе роста к уровню прошлого года 150,4% в действующих ценах.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Положительная динамика отгруженных товаров собственного производства в 2022 году к уровню 2021 года сложилась по следующим видам деятельности:</w:t>
      </w:r>
      <w:r/>
    </w:p>
    <w:p>
      <w:pPr>
        <w:ind w:firstLine="709"/>
        <w:jc w:val="both"/>
        <w:spacing w:after="0" w:line="240" w:lineRule="auto"/>
        <w:tabs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«Производство пищевых продуктов, включая напитки и табак» - рост показателя в 2022 году связан с деятельностью ОАО «Сахарный завод Ленинградский» по производству сахара, объем отгрузки составил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eastAsia="ru-RU"/>
        </w:rPr>
        <w:t xml:space="preserve">10030,3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млн. руб., что на 186,9% или на 4 663,5 млн.руб. выше уровня прошлого года. Предприятием ОАО Сахарный завод «Ленинградский»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сахар поставляется на регулярной основе оптов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ым предприятиям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в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розничные торговые сети. С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ахарный песок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э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кспортируется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в страны СНГ. По отчетным данным предоставленным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акционерным обществом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, предприятием планируется отгрузить в 2023 г.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142,5 тыс. тонн сахара, что на 27,3% ниже уровня предыдущего года. </w:t>
      </w:r>
      <w:r/>
    </w:p>
    <w:p>
      <w:pPr>
        <w:ind w:firstLine="709"/>
        <w:jc w:val="both"/>
        <w:spacing w:after="0" w:line="240" w:lineRule="auto"/>
        <w:tabs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«Производство резиновых и пластмассовых изделий» объем отгрузки составил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eastAsia="ru-RU"/>
        </w:rPr>
        <w:t xml:space="preserve">602,1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млн. руб. или 86,2 % к 2021 году за счет деятельности ООО «Век» в производстве ПВХ панелей, снижен объем отгрузки в связи отсутствием новых заключенных договор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ов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. В прогнозируемом периоде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в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ООО «ВЕК»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-  производитель панелей ПВХ для внутренней отделки помещений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з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апланировано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использова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ние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высокотехнологическо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го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оборудовани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от ведущих производителей, это позволит нарастить производство, улучшить качество продукции, что повлечет за собой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увеличение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спрос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на данную продукцию. В оценочном периоде ожидаемый темп отгрузки по данному виду «Производство резиновых и пластмассовых изделий» составит 115,5% к уровню аналогичному периоду 2022 года. </w:t>
      </w:r>
      <w:r/>
    </w:p>
    <w:p>
      <w:pPr>
        <w:contextualSpacing/>
        <w:ind w:firstLine="709"/>
        <w:jc w:val="both"/>
        <w:spacing w:after="0" w:line="240" w:lineRule="auto"/>
        <w:tabs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За январь-июнь 2023 года объем отгруженных товаров собственного производства, выполненных работ и услуг собственными силами (C+D+E) в действующих ценах по кру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гу крупных и средних предприятий составил 5829,0 млн. руб., что составляет 83% к январю-июню 2022 года, снижение обусловлено отгрузкой продукции в 2021 году предприятием ОАО «Сахарный завод Ленинградский», что составляет 48% к уровню января-июня 2021 года.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По итогам 6 месяцев 2023 года промышленными предприятиями, относящимися к категории крупных и средних и подсобными производствами сельскохозяйственных предприятий произведено продукции в натуральном выражении: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мяса и субпродуктов –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eastAsia="ru-RU"/>
        </w:rPr>
        <w:t xml:space="preserve">2070,7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тонн – или 81,2 % к уровню января-июня 2022 г., снижение данного показателя в отчетном периоде обусловлено внутренней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коммерческой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политикой на предприятии ООО "Первомайская ИПС"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в связи со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смен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ой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собственника, часть продукции в течение 2022 года отправлялась на заморозку. В прогнозируемом периоде планируется увеличение  производства, путем заключения новых контрактов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, инвестиционных вложений в производство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. </w:t>
      </w:r>
      <w:r/>
    </w:p>
    <w:p>
      <w:pPr>
        <w:ind w:right="-1" w:firstLine="709"/>
        <w:jc w:val="both"/>
        <w:spacing w:after="0" w:line="240" w:lineRule="auto"/>
        <w:tabs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молоко жидкое обработанное –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eastAsia="ru-RU"/>
        </w:rPr>
        <w:t xml:space="preserve">16561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тыс. тонн или 109,0 % к уровню января-июня 2022 года, рост производства связан с деятельностью ЗАО «Сыродельный комбинат Ленинградский» и увеличен на 1395 тонн или на 10,2 % к уровню прошлого года; </w:t>
      </w:r>
      <w:r/>
    </w:p>
    <w:p>
      <w:pPr>
        <w:ind w:right="-1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сыры, продукты сырные и творог - 6699,2 тыс. тонн – 183 % к январю-июню 2022 года, рост производства связан с деятельностью ЗАО «Сыродельный комбинат Ленинградский» и увеличен на 302,9 тонны или на 10,1% к уровню прошлого года.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В условиях колоссального экономического с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анкционного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давления и ограничений в 2023 году, в соответствии с намерениями предприятий, ожидается рост объема отгруженных товаров собственного производства, выполненных работ и услуг собственными силами (по полному кругу предприятий) и составит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eastAsia="ru-RU"/>
        </w:rPr>
        <w:t xml:space="preserve">16714,5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млн. руб. или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eastAsia="ru-RU"/>
        </w:rPr>
        <w:t xml:space="preserve">84,0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% к уровню 2022 года за счет наращивания производства и за счет расширения рынков в дружественных странах Российской Федерации. В 2022 году активное взаимодействие с Российским экспортным центром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и Центром поддержки экспорта Краснодарского края позволило предприятиям нашего района выйти на новые рынки реализации товаров собственного производства в следующие страны: Республика Казахстан, Республика Беларусь, Республика Армения, Турецкая Республика.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В разрезе отраслей в 2023 году ожидаются следующие показатели развития отрасли «Обрабатывающие производства»: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производство пищевых продуктов, включая напитки –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eastAsia="ru-RU"/>
        </w:rPr>
        <w:t xml:space="preserve">15248,3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млн. руб., темп роста к уровню прошлого года – 91,5 %, рост планируется обеспечить по следующим видам производств: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производство мяса –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eastAsia="ru-RU"/>
        </w:rPr>
        <w:t xml:space="preserve">443,7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млн. руб. или 105,0 % к уровню 2022 года,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сельскохозяйственные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товаро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производ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ители мяса на территории района -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ООО "Первомайская ИПС"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структура сбыта продукции изменена в связи с сменой собственника.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производство молочной продукции –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eastAsia="ru-RU"/>
        </w:rPr>
        <w:t xml:space="preserve">5858,7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млн. руб. – 105,5 % к уровню 2021 года, за счет производства продукции ЗАО «Сыродельный комбинат Ленинградский», продукция комбината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под брендом «Кубанский молочник»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пользуется спросом, как у оптовых покупателей, так и у населения не только Краснодарского края;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- производство сахара свекловичного –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eastAsia="ru-RU"/>
        </w:rPr>
        <w:t xml:space="preserve">8846,5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млн. руб. или 88,1 % к уровню прошлого года. Предприятием ОАО Сахарный завод «Ленинградский» сахар поставляется на регулярной основе оптовикам и в торговые сети. Экспортируется сахарный песок в страны СНГ. По отчетным данным предоставленным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акционерным обществом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, предприятием планируется отгрузить в 2023г. 142,5 тыс. тонн сахара, что на 27,3% ниже уровня предыдущего года.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производство резиновых и пластмассовых изделий –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eastAsia="ru-RU"/>
        </w:rPr>
        <w:t xml:space="preserve">695,3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млн. руб., или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115,5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% к уровню 2022 года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ООО «Век»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(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производство панелей ПВХ используемые в строительстве).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В прогнозируемом периоде объем отгруженных товаров собственного производства, выполненных работ и услуг собственными силами (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en-US" w:eastAsia="ru-RU"/>
        </w:rPr>
        <w:t xml:space="preserve">C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+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en-US" w:eastAsia="ru-RU"/>
        </w:rPr>
        <w:t xml:space="preserve">D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+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en-US" w:eastAsia="ru-RU"/>
        </w:rPr>
        <w:t xml:space="preserve">E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) по полному кругу предприятий прогнозируется в действующих ценах в 2024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г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оду составит в сумме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eastAsia="ru-RU"/>
        </w:rPr>
        <w:t xml:space="preserve">17416,5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м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лн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руб.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, что со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ставляет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104,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2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% в действующих ценах к уровню 2023 года; в 2025 году данный показатель составит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eastAsia="ru-RU"/>
        </w:rPr>
        <w:t xml:space="preserve">18200,312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м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лн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. руб. или 104,5% к уровню 2024 года; в 2026 году –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eastAsia="ru-RU"/>
        </w:rPr>
        <w:t xml:space="preserve">19055,7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мл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. руб. или 104,7% к уровню 2025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года за счет роста производимой продукции, а также создани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новых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промышленных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производств. </w:t>
      </w:r>
      <w:r/>
    </w:p>
    <w:p>
      <w:pPr>
        <w:pStyle w:val="843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</w:r>
      <w:r/>
    </w:p>
    <w:p>
      <w:pPr>
        <w:pStyle w:val="843"/>
        <w:jc w:val="both"/>
        <w:rPr>
          <w:b/>
          <w:szCs w:val="28"/>
          <w:u w:val="single"/>
        </w:rPr>
      </w:pPr>
      <w:r>
        <w:rPr>
          <w:b/>
          <w:szCs w:val="28"/>
        </w:rPr>
        <w:t xml:space="preserve">                                        </w:t>
      </w:r>
      <w:r>
        <w:rPr>
          <w:b/>
          <w:szCs w:val="28"/>
          <w:u w:val="single"/>
        </w:rPr>
        <w:t xml:space="preserve">Транспортировка и хранение</w:t>
      </w:r>
      <w:r/>
    </w:p>
    <w:p>
      <w:pPr>
        <w:pStyle w:val="845"/>
        <w:ind w:firstLine="709"/>
        <w:jc w:val="both"/>
        <w:tabs>
          <w:tab w:val="left" w:pos="709" w:leader="none"/>
        </w:tabs>
        <w:rPr>
          <w:bCs/>
          <w:szCs w:val="28"/>
        </w:rPr>
      </w:pPr>
      <w:r>
        <w:rPr>
          <w:bCs/>
          <w:szCs w:val="28"/>
        </w:rPr>
      </w:r>
      <w:r/>
    </w:p>
    <w:p>
      <w:pPr>
        <w:pStyle w:val="845"/>
        <w:ind w:firstLine="709"/>
        <w:jc w:val="both"/>
        <w:tabs>
          <w:tab w:val="left" w:pos="709" w:leader="none"/>
        </w:tabs>
        <w:rPr>
          <w:szCs w:val="28"/>
        </w:rPr>
      </w:pPr>
      <w:r>
        <w:rPr>
          <w:bCs/>
          <w:szCs w:val="28"/>
        </w:rPr>
        <w:t xml:space="preserve">По состоянию</w:t>
      </w:r>
      <w:r>
        <w:rPr>
          <w:b/>
          <w:szCs w:val="28"/>
        </w:rPr>
        <w:t xml:space="preserve"> </w:t>
      </w:r>
      <w:r>
        <w:rPr>
          <w:bCs/>
          <w:szCs w:val="28"/>
        </w:rPr>
        <w:t xml:space="preserve">на 1 января 2023 года</w:t>
      </w:r>
      <w:r>
        <w:rPr>
          <w:b/>
          <w:szCs w:val="28"/>
        </w:rPr>
        <w:t xml:space="preserve"> </w:t>
      </w:r>
      <w:r>
        <w:rPr>
          <w:szCs w:val="28"/>
        </w:rPr>
        <w:t xml:space="preserve">транспортная отрасль района представлена предприятием, относящимся к категории «крупные и средние» - НАО «Ленинградское ДРСУ», осуществляющ</w:t>
      </w:r>
      <w:r>
        <w:rPr>
          <w:szCs w:val="28"/>
        </w:rPr>
        <w:t xml:space="preserve">и</w:t>
      </w:r>
      <w:r>
        <w:rPr>
          <w:szCs w:val="28"/>
        </w:rPr>
        <w:t xml:space="preserve">м деятельность по эксплуатации автомобильных дорог и автомагистралей, а также предприятиями малого бизнеса и индивидуальными предпринимателями, осуществляющими  деятельность в сфере пассажиро - и грузоперевозок, «хранению и складированию зерна».</w:t>
      </w:r>
      <w:r/>
    </w:p>
    <w:p>
      <w:pPr>
        <w:pStyle w:val="845"/>
        <w:ind w:firstLine="709"/>
        <w:jc w:val="both"/>
        <w:tabs>
          <w:tab w:val="left" w:pos="709" w:leader="none"/>
          <w:tab w:val="left" w:pos="851" w:leader="none"/>
        </w:tabs>
        <w:rPr>
          <w:szCs w:val="28"/>
        </w:rPr>
      </w:pPr>
      <w:r>
        <w:rPr>
          <w:szCs w:val="28"/>
        </w:rPr>
        <w:t xml:space="preserve">По отрасли «Транспорт» объем услуг в фактических ценах (без НДС и акциза) по «крупным и средним» предприятиям в 2022 году составил </w:t>
      </w:r>
      <w:r>
        <w:rPr>
          <w:szCs w:val="28"/>
        </w:rPr>
        <w:t xml:space="preserve">235,</w:t>
      </w:r>
      <w:r>
        <w:rPr>
          <w:szCs w:val="28"/>
        </w:rPr>
        <w:t xml:space="preserve">5 млн.</w:t>
      </w:r>
      <w:r>
        <w:rPr>
          <w:szCs w:val="28"/>
        </w:rPr>
        <w:t xml:space="preserve"> руб., или 74,7 % к уровню 2021 го</w:t>
      </w:r>
      <w:r>
        <w:rPr>
          <w:szCs w:val="28"/>
        </w:rPr>
        <w:t xml:space="preserve">да в действующих ценах.   Снижение объемов работ в 2022 году связано с уменьшением количества заключенных контрактов на выполнение работ по строительству (реконструкции), капитальному ремонту, ремонту автомобильных дорог, искусственных дорожных сооружений.</w:t>
      </w:r>
      <w:r/>
    </w:p>
    <w:p>
      <w:pPr>
        <w:pStyle w:val="845"/>
        <w:ind w:firstLine="709"/>
        <w:jc w:val="both"/>
        <w:tabs>
          <w:tab w:val="left" w:pos="709" w:leader="none"/>
          <w:tab w:val="left" w:pos="851" w:leader="none"/>
        </w:tabs>
        <w:rPr>
          <w:szCs w:val="28"/>
        </w:rPr>
      </w:pPr>
      <w:r>
        <w:rPr>
          <w:szCs w:val="28"/>
        </w:rPr>
        <w:t xml:space="preserve">В структуре объема выполненных услуг по полному кругу предприятий отрасли</w:t>
      </w:r>
      <w:r>
        <w:rPr>
          <w:szCs w:val="28"/>
        </w:rPr>
        <w:t xml:space="preserve">,</w:t>
      </w:r>
      <w:r>
        <w:rPr>
          <w:szCs w:val="28"/>
        </w:rPr>
        <w:t xml:space="preserve"> крупные и средние предприятия составляют 50,8 %, из них объем выполненных услуг предприятия</w:t>
      </w:r>
      <w:r>
        <w:rPr>
          <w:szCs w:val="28"/>
        </w:rPr>
        <w:t xml:space="preserve">ми</w:t>
      </w:r>
      <w:r>
        <w:rPr>
          <w:szCs w:val="28"/>
        </w:rPr>
        <w:t xml:space="preserve">, занятыми во вспомогательной и дополнительной транспортной деятельности – 50,7 %.</w:t>
      </w:r>
      <w:r/>
    </w:p>
    <w:p>
      <w:pPr>
        <w:pStyle w:val="845"/>
        <w:ind w:firstLine="709"/>
        <w:jc w:val="both"/>
        <w:tabs>
          <w:tab w:val="left" w:pos="709" w:leader="none"/>
          <w:tab w:val="left" w:pos="851" w:leader="none"/>
        </w:tabs>
        <w:rPr>
          <w:color w:val="000000" w:themeColor="text1"/>
          <w:szCs w:val="28"/>
        </w:rPr>
      </w:pPr>
      <w:r>
        <w:rPr>
          <w:szCs w:val="28"/>
        </w:rPr>
        <w:t xml:space="preserve">По итогам 2023 года объем услуг транспорта по «крупным и средним» в фактически</w:t>
      </w:r>
      <w:r>
        <w:rPr>
          <w:szCs w:val="28"/>
        </w:rPr>
        <w:t xml:space="preserve">х ценах ожидается на уровне 280,1 млн. руб., или 118,9 % к уровню 2022 года за счет деятельности НАО «Ленинградское ДРСУ», «Деятельность по эксплуатации автомобильных дорог и автомагистралей», темп роста в действующих ценах к уровню 2022 года составит 118,</w:t>
      </w:r>
      <w:r>
        <w:rPr>
          <w:color w:val="000000" w:themeColor="text1"/>
          <w:szCs w:val="28"/>
        </w:rPr>
        <w:t xml:space="preserve">9 %. </w:t>
      </w:r>
      <w:r/>
    </w:p>
    <w:p>
      <w:pPr>
        <w:pStyle w:val="845"/>
        <w:ind w:firstLine="709"/>
        <w:jc w:val="both"/>
        <w:tabs>
          <w:tab w:val="left" w:pos="709" w:leader="none"/>
          <w:tab w:val="left" w:pos="851" w:leader="none"/>
        </w:tabs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В 2023-2026 годах запланировано увеличение объема работ по ремонту автомобильных дорог за счет поиска новых заказчиков и объектов. Увеличение объемов работ в 2023 году связано с увеличением ко</w:t>
      </w:r>
      <w:r>
        <w:rPr>
          <w:color w:val="000000" w:themeColor="text1"/>
          <w:szCs w:val="28"/>
        </w:rPr>
        <w:t xml:space="preserve">личества заключенных контрактов.</w:t>
      </w:r>
      <w:r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В</w:t>
      </w:r>
      <w:r>
        <w:rPr>
          <w:color w:val="000000" w:themeColor="text1"/>
          <w:szCs w:val="28"/>
        </w:rPr>
        <w:t xml:space="preserve"> 2022 году заключен</w:t>
      </w:r>
      <w:r>
        <w:rPr>
          <w:color w:val="000000" w:themeColor="text1"/>
          <w:szCs w:val="28"/>
        </w:rPr>
        <w:t xml:space="preserve">о 5</w:t>
      </w:r>
      <w:r>
        <w:rPr>
          <w:color w:val="000000" w:themeColor="text1"/>
          <w:szCs w:val="28"/>
        </w:rPr>
        <w:t xml:space="preserve"> контрактов, в 2023 </w:t>
      </w:r>
      <w:r>
        <w:rPr>
          <w:color w:val="000000" w:themeColor="text1"/>
          <w:szCs w:val="28"/>
        </w:rPr>
        <w:t xml:space="preserve">заключено </w:t>
      </w:r>
      <w:r>
        <w:rPr>
          <w:color w:val="000000" w:themeColor="text1"/>
          <w:szCs w:val="28"/>
        </w:rPr>
        <w:t xml:space="preserve">13 </w:t>
      </w:r>
      <w:r>
        <w:rPr>
          <w:color w:val="000000" w:themeColor="text1"/>
          <w:szCs w:val="28"/>
        </w:rPr>
        <w:t xml:space="preserve">контрактов</w:t>
      </w:r>
      <w:r>
        <w:rPr>
          <w:color w:val="000000" w:themeColor="text1"/>
          <w:szCs w:val="28"/>
        </w:rPr>
        <w:t xml:space="preserve">. В 2023-2026 году запланировано увеличение объема работ по ремонту автомобильных дорог за счет поиска новых заказчиков и объектов.</w:t>
      </w:r>
      <w:r/>
    </w:p>
    <w:p>
      <w:pPr>
        <w:pStyle w:val="845"/>
        <w:ind w:firstLine="709"/>
        <w:jc w:val="both"/>
        <w:tabs>
          <w:tab w:val="left" w:pos="709" w:leader="none"/>
          <w:tab w:val="left" w:pos="851" w:leader="none"/>
        </w:tabs>
        <w:rPr>
          <w:szCs w:val="28"/>
        </w:rPr>
      </w:pPr>
      <w:r>
        <w:rPr>
          <w:szCs w:val="28"/>
        </w:rPr>
        <w:t xml:space="preserve">По кругу малых предприятий в 2022 году оказано транспортных услуг на сумму 228,3 млн. руб., что </w:t>
      </w:r>
      <w:r>
        <w:rPr>
          <w:szCs w:val="28"/>
        </w:rPr>
        <w:t xml:space="preserve">в 3,3 раза</w:t>
      </w:r>
      <w:r>
        <w:rPr>
          <w:szCs w:val="28"/>
        </w:rPr>
        <w:t xml:space="preserve"> к уровню 2021 года. Увеличение произошло за счет роста новых малых предприятий. Об</w:t>
      </w:r>
      <w:r>
        <w:rPr>
          <w:szCs w:val="28"/>
        </w:rPr>
        <w:t xml:space="preserve">ъем транспортных услуг предприятиями малого бизнеса обеспечен деятельностью АО «Уманский элеватор» за счет деятельности по хранению зерна и предприятиями, оказывающих межпоселенческие, городские и заказные пассажирские перевозки, а также перевозка грузов. </w:t>
      </w:r>
      <w:r/>
    </w:p>
    <w:p>
      <w:pPr>
        <w:pStyle w:val="845"/>
        <w:ind w:firstLine="709"/>
        <w:jc w:val="both"/>
        <w:tabs>
          <w:tab w:val="left" w:pos="709" w:leader="none"/>
          <w:tab w:val="left" w:pos="851" w:leader="none"/>
        </w:tabs>
        <w:rPr>
          <w:szCs w:val="28"/>
        </w:rPr>
      </w:pPr>
      <w:r>
        <w:rPr>
          <w:szCs w:val="28"/>
        </w:rPr>
        <w:t xml:space="preserve">Ро</w:t>
      </w:r>
      <w:r>
        <w:rPr>
          <w:szCs w:val="28"/>
        </w:rPr>
        <w:t xml:space="preserve">ст объема выполненных работ (услуг) по малым предприятиям транспорта в 2022 году обеспечен деятельностью АО «Уманский элеватор» - 64,5 млн.руб.; ООО «Пассажиртранс» - 14,3 млн.руб.; ООО «ТЭК ТРИО» - 92,6 млн. руб.; ООО «Бизнес технологии» - 28,2 млн. руб.;</w:t>
      </w:r>
      <w:r>
        <w:rPr>
          <w:szCs w:val="28"/>
        </w:rPr>
        <w:t xml:space="preserve"> </w:t>
      </w:r>
      <w:r>
        <w:rPr>
          <w:szCs w:val="28"/>
        </w:rPr>
        <w:t xml:space="preserve">ООО «Краснодаринерттранс» - 28,7 млн. руб.</w:t>
      </w:r>
      <w:r/>
    </w:p>
    <w:p>
      <w:pPr>
        <w:pStyle w:val="845"/>
        <w:ind w:firstLine="709"/>
        <w:jc w:val="both"/>
        <w:tabs>
          <w:tab w:val="left" w:pos="709" w:leader="none"/>
          <w:tab w:val="left" w:pos="851" w:leader="none"/>
        </w:tabs>
        <w:rPr>
          <w:szCs w:val="28"/>
        </w:rPr>
      </w:pPr>
      <w:r>
        <w:rPr>
          <w:szCs w:val="28"/>
        </w:rPr>
        <w:t xml:space="preserve">В прогнозируемый период 2024 - 2026 гг. развитие отрасли будет обеспечиваться за счет положительной динамики   объемов оказания услуг как крупными и средними предприятиями, так и малыми предприятиями.</w:t>
      </w:r>
      <w:r/>
    </w:p>
    <w:p>
      <w:pPr>
        <w:pStyle w:val="845"/>
        <w:ind w:firstLine="709"/>
        <w:jc w:val="both"/>
        <w:tabs>
          <w:tab w:val="left" w:pos="709" w:leader="none"/>
          <w:tab w:val="left" w:pos="851" w:leader="none"/>
        </w:tabs>
        <w:rPr>
          <w:szCs w:val="28"/>
        </w:rPr>
      </w:pPr>
      <w:r>
        <w:rPr>
          <w:szCs w:val="28"/>
        </w:rPr>
        <w:t xml:space="preserve">В 2024 – 2026 гг. по предприятиям транспортной отрасли категории «крупные и средние» объем услуг транспорта составит </w:t>
      </w:r>
      <w:r>
        <w:rPr>
          <w:szCs w:val="28"/>
        </w:rPr>
        <w:t xml:space="preserve">3</w:t>
      </w:r>
      <w:r>
        <w:rPr>
          <w:szCs w:val="28"/>
        </w:rPr>
        <w:t xml:space="preserve">36,0 млн. руб., 4</w:t>
      </w:r>
      <w:r>
        <w:rPr>
          <w:szCs w:val="28"/>
        </w:rPr>
        <w:t xml:space="preserve">20</w:t>
      </w:r>
      <w:r>
        <w:rPr>
          <w:szCs w:val="28"/>
        </w:rPr>
        <w:t xml:space="preserve">,0 млн. руб., 448,0 млн. руб., к уровню предшествующего года в действующих ценах или </w:t>
      </w:r>
      <w:r>
        <w:rPr>
          <w:szCs w:val="28"/>
        </w:rPr>
        <w:t xml:space="preserve">119,9</w:t>
      </w:r>
      <w:r>
        <w:rPr>
          <w:szCs w:val="28"/>
        </w:rPr>
        <w:t xml:space="preserve"> %, </w:t>
      </w:r>
      <w:r>
        <w:rPr>
          <w:szCs w:val="28"/>
        </w:rPr>
        <w:t xml:space="preserve">125,0</w:t>
      </w:r>
      <w:r>
        <w:rPr>
          <w:szCs w:val="28"/>
        </w:rPr>
        <w:t xml:space="preserve"> %, 10</w:t>
      </w:r>
      <w:r>
        <w:rPr>
          <w:szCs w:val="28"/>
        </w:rPr>
        <w:t xml:space="preserve">6,6</w:t>
      </w:r>
      <w:r>
        <w:rPr>
          <w:szCs w:val="28"/>
        </w:rPr>
        <w:t xml:space="preserve"> % соответственно.</w:t>
      </w:r>
      <w:r/>
    </w:p>
    <w:p>
      <w:pPr>
        <w:pStyle w:val="845"/>
        <w:ind w:firstLine="709"/>
        <w:jc w:val="both"/>
        <w:tabs>
          <w:tab w:val="left" w:pos="709" w:leader="none"/>
          <w:tab w:val="left" w:pos="851" w:leader="none"/>
        </w:tabs>
        <w:rPr>
          <w:szCs w:val="28"/>
        </w:rPr>
      </w:pPr>
      <w:r>
        <w:rPr>
          <w:szCs w:val="28"/>
        </w:rPr>
        <w:t xml:space="preserve">Темпы роста объема оказанных услуг транспорта по полному кругу предприятий в период 2024 – 2026 гг. составят в действующих ценах: 2024г. -</w:t>
      </w:r>
      <w:r>
        <w:rPr>
          <w:szCs w:val="28"/>
        </w:rPr>
        <w:t xml:space="preserve">111,3</w:t>
      </w:r>
      <w:r>
        <w:rPr>
          <w:szCs w:val="28"/>
        </w:rPr>
        <w:t xml:space="preserve"> %;  2025 г. – </w:t>
      </w:r>
      <w:r>
        <w:rPr>
          <w:szCs w:val="28"/>
        </w:rPr>
        <w:t xml:space="preserve">115,2</w:t>
      </w:r>
      <w:r>
        <w:rPr>
          <w:szCs w:val="28"/>
        </w:rPr>
        <w:t xml:space="preserve"> %; 2026 г. – 10</w:t>
      </w:r>
      <w:r>
        <w:rPr>
          <w:szCs w:val="28"/>
        </w:rPr>
        <w:t xml:space="preserve">4,7</w:t>
      </w:r>
      <w:r>
        <w:rPr>
          <w:szCs w:val="28"/>
        </w:rPr>
        <w:t xml:space="preserve"> %, за счет положительной динамики   объемов оказания услуг как крупными и средними предприятиями, так и малыми предприятиями.</w:t>
      </w:r>
      <w:r/>
    </w:p>
    <w:p>
      <w:pPr>
        <w:ind w:firstLine="709"/>
        <w:jc w:val="both"/>
        <w:spacing w:after="0"/>
      </w:pPr>
      <w:r/>
      <w:r/>
    </w:p>
    <w:p>
      <w:pPr>
        <w:pStyle w:val="845"/>
        <w:jc w:val="both"/>
        <w:tabs>
          <w:tab w:val="left" w:pos="709" w:leader="none"/>
          <w:tab w:val="left" w:pos="851" w:leader="none"/>
        </w:tabs>
        <w:rPr>
          <w:szCs w:val="28"/>
          <w:u w:val="single"/>
        </w:rPr>
      </w:pPr>
      <w:r>
        <w:rPr>
          <w:b/>
          <w:szCs w:val="28"/>
        </w:rPr>
        <w:t xml:space="preserve">                           </w:t>
      </w:r>
      <w:r>
        <w:rPr>
          <w:b/>
          <w:szCs w:val="28"/>
        </w:rPr>
        <w:t xml:space="preserve">                 </w:t>
      </w:r>
      <w:r>
        <w:rPr>
          <w:b/>
          <w:szCs w:val="28"/>
        </w:rPr>
        <w:t xml:space="preserve"> </w:t>
      </w:r>
      <w:r>
        <w:rPr>
          <w:b/>
          <w:szCs w:val="28"/>
          <w:u w:val="single"/>
        </w:rPr>
        <w:t xml:space="preserve">Потребительская сфера</w:t>
      </w:r>
      <w:r/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Потребительский рынок района развивается за счет роста числа предприятий, занятых в этой сфере и расширения торговой мощности действующих.</w:t>
      </w:r>
      <w:r/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</w:t>
      </w:r>
      <w:r>
        <w:rPr>
          <w:rFonts w:ascii="Times New Roman" w:hAnsi="Times New Roman" w:cs="Times New Roman"/>
          <w:sz w:val="28"/>
          <w:szCs w:val="28"/>
        </w:rPr>
        <w:t xml:space="preserve"> на 1 января 2023 года на территории муниципального образования Ленинградский район количество объектов розничной торговли составило 695 ед., объектов бытового обслуживания, оказывающих услуги населению – 193 ед., предприятий общественного питания – 58 ед.</w:t>
      </w:r>
      <w:r/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Оборот розничной торговли по полному кругу организаций (во всех каналах реализации) в сопоставимых ценах составил в 2022 году 11953,9 млн. руб., что на 986,9 млн. руб. превышает уровень аналогичного периода прошлого года с темпом роста 109</w:t>
      </w:r>
      <w:r>
        <w:rPr>
          <w:rFonts w:ascii="Times New Roman" w:hAnsi="Times New Roman" w:cs="Times New Roman"/>
          <w:sz w:val="28"/>
          <w:szCs w:val="28"/>
        </w:rPr>
        <w:t xml:space="preserve">,0</w:t>
      </w:r>
      <w:r>
        <w:rPr>
          <w:rFonts w:ascii="Times New Roman" w:hAnsi="Times New Roman" w:cs="Times New Roman"/>
          <w:sz w:val="28"/>
          <w:szCs w:val="28"/>
        </w:rPr>
        <w:t xml:space="preserve">%. Однако процент сопоставимых цен в 2022 </w:t>
      </w:r>
      <w:r>
        <w:rPr>
          <w:rFonts w:ascii="Times New Roman" w:hAnsi="Times New Roman" w:cs="Times New Roman"/>
          <w:sz w:val="28"/>
          <w:szCs w:val="28"/>
        </w:rPr>
        <w:t xml:space="preserve">году составил   95,6 %,  что на 18,2 % меньше к предыдущему году. Данная динамика обусловлена тем, что в 2022 году происходило закрытие магазинов со специализацией ассортиментов – одежда, обувь, продукты, мясо, мебель, а также за счет высокого индекса цен.</w:t>
      </w:r>
      <w:r/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2020-2022 гг. наблюдался рост оборота розничной торговли по полному </w:t>
      </w:r>
      <w:r>
        <w:rPr>
          <w:rFonts w:ascii="Times New Roman" w:hAnsi="Times New Roman" w:cs="Times New Roman"/>
          <w:sz w:val="28"/>
          <w:szCs w:val="28"/>
        </w:rPr>
        <w:t xml:space="preserve">кругу организаций (во всех каналах реализации).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борот розничной торговли за три года увеличился в сравнении с предыдущим трехлетним и составил:</w:t>
      </w:r>
      <w:r/>
    </w:p>
    <w:p>
      <w:pPr>
        <w:ind w:firstLine="709"/>
        <w:jc w:val="both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2021 году - 10967, 0 млн. руб.;</w:t>
      </w:r>
      <w:r/>
    </w:p>
    <w:p>
      <w:pPr>
        <w:ind w:firstLine="709"/>
        <w:jc w:val="both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2022 году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11953, 9 млн. руб.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</w:t>
      </w:r>
      <w:r/>
    </w:p>
    <w:p>
      <w:pPr>
        <w:ind w:firstLine="709"/>
        <w:jc w:val="both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2023 году – 14333,9</w:t>
      </w:r>
      <w: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млн. руб.</w:t>
      </w:r>
      <w:r/>
    </w:p>
    <w:p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прогнозируемом периоде планируется увеличение данного показателя на 108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% в сумме 1196 млн. руб. </w:t>
      </w:r>
      <w:r>
        <w:rPr>
          <w:rFonts w:ascii="Times New Roman" w:hAnsi="Times New Roman" w:cs="Times New Roman"/>
          <w:sz w:val="28"/>
          <w:szCs w:val="28"/>
        </w:rPr>
        <w:t xml:space="preserve">за счет расширения действующей торговой сети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открытия следующих магазинов: Магазины «МагТабак», ИП Еременко А.А. Магазины «Black Табак», ООО «Альфа – М» Магазины «К&amp;Б», ИП Мосиенко С.В.  Магазины «Ваше пиво», ИП Саид С.О. Магазин «Арсенал»</w:t>
      </w:r>
      <w:r>
        <w:rPr>
          <w:rFonts w:ascii="Times New Roman" w:hAnsi="Times New Roman" w:cs="Times New Roman"/>
          <w:sz w:val="28"/>
          <w:szCs w:val="28"/>
        </w:rPr>
        <w:t xml:space="preserve">, ИП Шамсуллои А. Магазин ТК «Дом одежды и обуви для всей семьи», ИП Келов Б.А. магазин «Табачная лавка», ИП Еременко Г.М. Магазин «Табак»,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ИП Мокану Ю.А. Магазины «Бавария»,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ИП Саркисян А.М. Магазины «Хадыжи Плюс», ООО «КДЕ ФУД» магазин и пекарня «Хлебно и точка», а также пунктов выдачи интернет-магазина «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Wildberries</w:t>
      </w:r>
      <w:r>
        <w:rPr>
          <w:rFonts w:ascii="Times New Roman" w:hAnsi="Times New Roman" w:cs="Times New Roman"/>
          <w:sz w:val="28"/>
          <w:szCs w:val="28"/>
        </w:rPr>
        <w:t xml:space="preserve">», «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OZON</w:t>
      </w:r>
      <w:r>
        <w:rPr>
          <w:rFonts w:ascii="Times New Roman" w:hAnsi="Times New Roman" w:cs="Times New Roman"/>
          <w:sz w:val="28"/>
          <w:szCs w:val="28"/>
        </w:rPr>
        <w:t xml:space="preserve">», «Яндекс Маркет».</w:t>
      </w:r>
      <w:r/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2022 году наблюдался рост оборота общественного питания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полному кругу организаций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16,4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%.  </w:t>
      </w:r>
      <w:r>
        <w:rPr>
          <w:rFonts w:ascii="Times New Roman" w:hAnsi="Times New Roman" w:cs="Times New Roman"/>
          <w:sz w:val="28"/>
          <w:szCs w:val="28"/>
        </w:rPr>
        <w:t xml:space="preserve">Оборот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общественного питания по кругу крупных и средних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организаций в сопоставимых ценах  в 2021 году – 139,6 %, а в 2022 году – 101,8%. Данные скачки показателя обусловлены введением в 2020 году ограничительных мероприятий, действовавших с целью недопущения распространения короновирусной инфекции. В 2021 году </w:t>
      </w:r>
      <w:r>
        <w:rPr>
          <w:rFonts w:ascii="Times New Roman" w:hAnsi="Times New Roman" w:cs="Times New Roman"/>
          <w:sz w:val="28"/>
          <w:szCs w:val="28"/>
        </w:rPr>
        <w:t xml:space="preserve">оборот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общественног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питания по кругу крупных и средних организаций в сопоставимых ценах к предыдущему году вырос до 139,6 % в связи с отменой ограничительных мероприятий работы объектов общественного питания. И соответственно в отчетном 2022 году и в прогнозируемых 2024-202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гг. данный показатель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повышается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в связи с обычным режимом работы предприятий общественного питания</w:t>
      </w:r>
      <w:r/>
    </w:p>
    <w:p>
      <w:pPr>
        <w:ind w:firstLine="709"/>
        <w:jc w:val="both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2023 году оборот общественного питания по полному кругу организаций составил 287,0 млн. руб. с темпом роста 115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%, в 2024 году планируется 302,9 млн. руб. с темпом роста 105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%, в 2025 году – 322 млн. руб. с темпом роста 106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%, в 2026 году – 343,9 млн. руб., с темпом роста 10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6,8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%.</w:t>
      </w:r>
      <w:r/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Рост общественного питания в 2023 году обусловлен открытием новых объектов общепита, таких как: предприятие быстрого обслуживания «Ростовская Шаурма», «Булка», зак</w:t>
      </w:r>
      <w:r>
        <w:rPr>
          <w:rFonts w:ascii="Times New Roman" w:hAnsi="Times New Roman" w:cs="Times New Roman"/>
          <w:sz w:val="28"/>
          <w:szCs w:val="28"/>
        </w:rPr>
        <w:t xml:space="preserve">усочной «Шаурма на углях», перепрофилированием</w:t>
      </w:r>
      <w:r>
        <w:rPr>
          <w:rFonts w:ascii="Times New Roman" w:hAnsi="Times New Roman" w:cs="Times New Roman"/>
          <w:sz w:val="28"/>
          <w:szCs w:val="28"/>
        </w:rPr>
        <w:t xml:space="preserve"> закусочной «Сашенька» в столовую на 50 мест. </w:t>
      </w:r>
      <w:r/>
    </w:p>
    <w:p>
      <w:pPr>
        <w:widowControl w:val="o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widowControl w:val="off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Инвестиционная деятельность</w:t>
      </w:r>
      <w:r/>
    </w:p>
    <w:p>
      <w:pPr>
        <w:jc w:val="both"/>
        <w:spacing w:after="0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В 2022 г. объем инвестиций в основной капитал по полному кругу предприятий составил 2407,9 млн. руб. или 133,3 % к уровню 2021 г.</w:t>
      </w:r>
      <w:r/>
    </w:p>
    <w:p>
      <w:pPr>
        <w:pStyle w:val="679"/>
        <w:ind w:firstLine="709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Рост объема инвестиций в основной капитал связан с ростом инвестиций предприятий агропромышленного комплекса: </w:t>
      </w:r>
      <w:r/>
    </w:p>
    <w:p>
      <w:pPr>
        <w:pStyle w:val="679"/>
        <w:ind w:firstLine="709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ОАО «Сахарный завод «Ленинградский» - 122,5 млн. руб., что выше уровня 2021 года в 5 раз и направлены на приобретение технологического оборудования;</w:t>
      </w:r>
      <w:r/>
    </w:p>
    <w:p>
      <w:pPr>
        <w:pStyle w:val="679"/>
        <w:ind w:firstLine="709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ЗАО «Сыродельный комбинат «Ленинградский» - 195,7</w:t>
      </w:r>
      <w:r>
        <w:rPr>
          <w:rFonts w:ascii="Times New Roman" w:hAnsi="Times New Roman" w:cs="Times New Roman"/>
          <w:sz w:val="28"/>
          <w:szCs w:val="28"/>
        </w:rPr>
        <w:t xml:space="preserve"> млн.руб. или 194,7% к уровню 2021 года, в рамках реализации инвестиционного проекта «Модернизация производства, направленная на увеличение объема производства молочной продукции» проведена реконструкция участка ферментации кефира и системы приемки молока;</w:t>
      </w:r>
      <w:r/>
    </w:p>
    <w:p>
      <w:pPr>
        <w:pStyle w:val="679"/>
        <w:ind w:firstLine="709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ООО «Вторая пятилетка» - 53,6 млн.руб., что выше уровня 2021 года в 2 раза и направлены на приобретение прицепной с/х техники, строительство цеха обработки зерна, строительство зернового склада;</w:t>
      </w:r>
      <w:r/>
    </w:p>
    <w:p>
      <w:pPr>
        <w:pStyle w:val="679"/>
        <w:ind w:firstLine="709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АО «Имени Ильича» - 314,5 млн. руб., что выше уровня 2021 года в 2 раза и направлены на приобретение сельскохозяйственной техники;</w:t>
      </w:r>
      <w:r/>
    </w:p>
    <w:p>
      <w:pPr>
        <w:pStyle w:val="679"/>
        <w:ind w:firstLine="709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с ростом бюджетных инвестиций – 131,4 млн. руб., или 135% к уровню 2021 года, которые на</w:t>
      </w:r>
      <w:r>
        <w:rPr>
          <w:rFonts w:ascii="Times New Roman" w:hAnsi="Times New Roman" w:cs="Times New Roman"/>
          <w:sz w:val="28"/>
          <w:szCs w:val="28"/>
        </w:rPr>
        <w:t xml:space="preserve">правлены строительство спортивного объекта «Центр единоборств» на центральном стадионе ст. Ленинградской, реконструкцию водозабора со строительством станции очистки воды от сероводорода, в рамках реализации национального проекта «Жилье и городская среда». </w:t>
      </w:r>
      <w:r/>
    </w:p>
    <w:p>
      <w:pPr>
        <w:pStyle w:val="679"/>
        <w:ind w:firstLine="709"/>
        <w:jc w:val="both"/>
        <w:widowControl w:val="off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Предприятиями малого бизнеса в 2022 году обеспечено 38,7 % общего объема инвестиций по району, что составляет 932,5 млн. руб., в том числе: ООО</w:t>
      </w:r>
      <w:r>
        <w:rPr>
          <w:rFonts w:ascii="Times New Roman" w:hAnsi="Times New Roman" w:cs="Times New Roman"/>
          <w:spacing w:val="-3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«Крыловское» (20 млн. руб.) – развитие растениеводства; ООО «Птицефабрика Уманская» (51,5 млн. руб.) – приобретение производственного оборудования для корпусов по содержанию птицы;  ООО Южное ААА (103,0 млн. руб.) – закладка садов интенсивног</w:t>
      </w:r>
      <w:r>
        <w:rPr>
          <w:rFonts w:ascii="Times New Roman" w:hAnsi="Times New Roman" w:cs="Times New Roman"/>
          <w:sz w:val="28"/>
          <w:szCs w:val="28"/>
        </w:rPr>
        <w:t xml:space="preserve">о типа (яблоня); ООО «Уманские масла» (25 млн.руб.) – в рамках реализации инвестиционного проекта инвестором приобреталось оборудование для строительства маслоэкстракционного цеха; ООО «Маранде» (30,0 млн.руб.) – приобретение технологического оборудования.</w:t>
      </w:r>
      <w:r/>
    </w:p>
    <w:p>
      <w:pPr>
        <w:pStyle w:val="679"/>
        <w:ind w:firstLine="709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г., по оценке, инвестиции в основной капитал по полному кругу предприятий составят 2566,4 млн. руб. или 106,6 % к 2022 г. По крупным и средним предприятиям ожидается объем инвестиций в основной капитал 1567,1 млн. руб. или 106,8% к 2022 г.</w:t>
      </w:r>
      <w:r/>
    </w:p>
    <w:p>
      <w:pPr>
        <w:pStyle w:val="679"/>
        <w:ind w:firstLine="709"/>
        <w:jc w:val="both"/>
        <w:widowControl w:val="off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Рост объема инвестиций в 2023 г. ожидается за счет реализации следующих инвестиционных проектов на территории района:</w:t>
      </w:r>
      <w:r/>
    </w:p>
    <w:p>
      <w:pPr>
        <w:pStyle w:val="679"/>
        <w:ind w:firstLine="709"/>
        <w:jc w:val="both"/>
        <w:widowControl w:val="off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модернизация произ</w:t>
      </w:r>
      <w:r>
        <w:rPr>
          <w:rFonts w:ascii="Times New Roman" w:hAnsi="Times New Roman" w:cs="Times New Roman"/>
          <w:sz w:val="28"/>
          <w:szCs w:val="28"/>
        </w:rPr>
        <w:t xml:space="preserve">водства, направленная на увеличение объема производства молочной продукции (модернизация участка ферментации кефира, приточно-вытяжной вентиляции, станции очистки воды), инвестор ЗАО «Сыродельный комбинат «Ленинградский», сумма инвестиций –197,3 млн. руб.;</w:t>
      </w:r>
      <w:r/>
    </w:p>
    <w:p>
      <w:pPr>
        <w:pStyle w:val="679"/>
        <w:ind w:firstLine="709"/>
        <w:jc w:val="both"/>
        <w:widowControl w:val="off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закладка садов интенсивного типа (яблоня), инвестор ООО «Южное ААА», ожидаемое освоение инвестиций – 105,0 млн. руб.;</w:t>
      </w:r>
      <w:r/>
    </w:p>
    <w:p>
      <w:pPr>
        <w:pStyle w:val="679"/>
        <w:ind w:firstLine="709"/>
        <w:jc w:val="both"/>
        <w:widowControl w:val="off"/>
        <w:tabs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 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роизводство крышечек «твист-офф» для стеклянных банок, инвестор ООО «Маранде», сумма инвестиций – 50,4 млн. руб.;</w:t>
      </w:r>
      <w:r/>
    </w:p>
    <w:p>
      <w:pPr>
        <w:pStyle w:val="679"/>
        <w:ind w:firstLine="709"/>
        <w:jc w:val="both"/>
        <w:widowControl w:val="off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строительство маслоэкстракционного цеха, инвестор ООО «Уманские масла», общая сумма инвестиций – 100,0 млн. руб., в 2023 г. ожидается освоить - 25,0 млн. руб.;</w:t>
      </w:r>
      <w:r/>
    </w:p>
    <w:p>
      <w:pPr>
        <w:pStyle w:val="679"/>
        <w:ind w:firstLine="709"/>
        <w:jc w:val="both"/>
        <w:widowControl w:val="off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строительство маслоэкстракционного завода мощностью по переработке семечки подсолнечника до 1 000 т/сутки, инвестор ООО «Наше масло», общая сумма инвестиций – 2 000,0 млн. руб., в 2023 г. ожидается освоить – до 1 млн. руб.;</w:t>
      </w:r>
      <w:r/>
    </w:p>
    <w:p>
      <w:pPr>
        <w:pStyle w:val="679"/>
        <w:ind w:firstLine="709"/>
        <w:jc w:val="both"/>
        <w:widowControl w:val="off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реконструкция водозабора со строительством станции очистки воды от сероводорода производительностью 10000 м3/сутки в ст. Ленинградской, (бюджетные инвестиции) общий объем инвестиций 628,8 млн. руб., в 2023 году планируется освоить 93,7 млн. руб.;</w:t>
      </w:r>
      <w:r/>
    </w:p>
    <w:p>
      <w:pPr>
        <w:pStyle w:val="679"/>
        <w:ind w:firstLine="709"/>
        <w:jc w:val="both"/>
        <w:widowControl w:val="off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строительство двух складских помещения для хранения сельскохозяйственной продукции, инвестор ООО «Аллея», ожидаемое освоение инвестиций 20,0 млн.руб.;</w:t>
      </w:r>
      <w:r/>
    </w:p>
    <w:p>
      <w:pPr>
        <w:pStyle w:val="679"/>
        <w:ind w:firstLine="709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техническое перевооружений (приобретение сельскохозяйственной техники, производственного оборудования и др.) сельскохозяйственных и обрабатывающих предприятий АО «Имени Ильича» (248,0 млн.руб., ООО «Агрофирма Соревнование» (20,0 млн.руб.);</w:t>
      </w:r>
      <w:r>
        <w:rPr>
          <w:rFonts w:ascii="Times New Roman" w:hAnsi="Times New Roman" w:cs="Times New Roman"/>
          <w:sz w:val="28"/>
          <w:szCs w:val="28"/>
        </w:rPr>
        <w:t xml:space="preserve"> ООО «Вторая Пятилетка» (10,0 млн.руб.); АО «Ленинградское» (50,0 млн.руб.); ООО «Первомайская ИПС» (30,0 млн.руб.); ООО «Крыловское» (22,0 млн.руб.); АО «Белое» (5,1 млн.руб.); ОАО «Сахарный завод Ленинградский» (50,3 млн.руб.); ООО «Век» (10,0 млн.руб.).</w:t>
      </w:r>
      <w:r/>
    </w:p>
    <w:p>
      <w:pPr>
        <w:pStyle w:val="679"/>
        <w:ind w:firstLine="709"/>
        <w:jc w:val="both"/>
        <w:widowControl w:val="off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прогнозируемый период в 2024-2026 гг.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темпы роста инвестиций</w:t>
      </w:r>
      <w:r>
        <w:rPr>
          <w:rFonts w:ascii="Times New Roman" w:hAnsi="Times New Roman" w:cs="Times New Roman"/>
          <w:sz w:val="28"/>
          <w:szCs w:val="28"/>
        </w:rPr>
        <w:br/>
        <w:t xml:space="preserve">в основной капитал по полному кругу в сопоставимых ценах составят: 2024 г. – 101,9 %; 2025 г. – 139,1 %; 2026 г. – 115,3 %; соответственно по крупным и средним предприятиям: – 102,3 %; </w:t>
      </w:r>
      <w:r>
        <w:rPr>
          <w:rFonts w:ascii="Times New Roman" w:hAnsi="Times New Roman" w:cs="Times New Roman"/>
          <w:spacing w:val="-30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161,3</w:t>
      </w:r>
      <w:r>
        <w:rPr>
          <w:rFonts w:ascii="Times New Roman" w:hAnsi="Times New Roman" w:cs="Times New Roman"/>
          <w:spacing w:val="-3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%; – 119,9 %.</w:t>
      </w:r>
      <w:r/>
    </w:p>
    <w:p>
      <w:pPr>
        <w:pStyle w:val="679"/>
        <w:jc w:val="both"/>
        <w:widowControl w:val="off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рамках реализации национального проекта «Экология» и достижения целевых показателей АО «РТ-Инвест» разработана концепция создания комплексной системы по обращению с ТКО в Краснодарском</w:t>
      </w:r>
      <w:r>
        <w:rPr>
          <w:rFonts w:ascii="Times New Roman" w:hAnsi="Times New Roman" w:cs="Times New Roman"/>
          <w:sz w:val="28"/>
          <w:szCs w:val="28"/>
        </w:rPr>
        <w:t xml:space="preserve"> крае при участии Минприроды России, администрации Краснодарского края и ППК «Российский экологический оператор», которой предусмотрено в 2025-2026 гг. строительство на территории Ленинградского района комплекса по переработке твердых коммунальных отходов.</w:t>
      </w:r>
      <w:r/>
    </w:p>
    <w:p>
      <w:pPr>
        <w:pStyle w:val="679"/>
        <w:ind w:firstLine="709"/>
        <w:jc w:val="both"/>
        <w:widowControl w:val="off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намерений предприятий в прогнозируемый период планируется реализация следующих инвестиционных проектов:</w:t>
      </w:r>
      <w:r/>
    </w:p>
    <w:p>
      <w:pPr>
        <w:pStyle w:val="679"/>
        <w:ind w:firstLine="709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модернизация производства, инвестор - ЗАО «Сыродельный комбинат «Ленинградский», планируемый объем инвестиций в 2024 г. – 198,9 млн руб.; в 2025 г. 200,0 млн руб.; в 2026г.– 210,0 млн руб.;</w:t>
      </w:r>
      <w:r/>
    </w:p>
    <w:p>
      <w:pPr>
        <w:pStyle w:val="679"/>
        <w:ind w:firstLine="709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«Строительство складского здания №10 для хранения фруктов емкостью 1500 тонн»; «Строительство складского здания № 1</w:t>
      </w:r>
      <w:r>
        <w:rPr>
          <w:rFonts w:ascii="Times New Roman" w:hAnsi="Times New Roman" w:cs="Times New Roman"/>
          <w:sz w:val="28"/>
          <w:szCs w:val="28"/>
        </w:rPr>
        <w:t xml:space="preserve">1 для хранения фруктов емкостью 2200 тонн»; «Строительство складского здания № 12 для хранения фруктов емкостью 1500 тонн», инвестор - АО «Трудовое», планируемый объем инвестиций в 2024 г. – 60,0 млн руб.; в 2025 г. – 70,0 млн руб.; 2026 – 80,0 млн рублей;</w:t>
      </w:r>
      <w:r/>
    </w:p>
    <w:p>
      <w:pPr>
        <w:pStyle w:val="679"/>
        <w:ind w:firstLine="709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строительство цеха лакировки металлической крышки для консервирования (мощностью - 5 тыс. листов в час), инвестор ООО «Маранде», планируемый объем инвестиций в 2024 г. – 30,0 млн руб.; в 2025 г. – 33,0 млн руб.; 2026 г. – 35,0 млн руб.;</w:t>
      </w:r>
      <w:r/>
    </w:p>
    <w:p>
      <w:pPr>
        <w:pStyle w:val="679"/>
        <w:ind w:firstLine="709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строительство маслоэкстракционного цеха, инвестор ООО «Уманские масла», общая сумма инвестиций – 100,0 млн. руб., планируется освоить в 2024 г. – 50,0 млн. руб.; в 2025 г. – 10,0 млн. руб.; 2026 г. – 10,0 млн. руб.;</w:t>
      </w:r>
      <w:r/>
    </w:p>
    <w:p>
      <w:pPr>
        <w:pStyle w:val="679"/>
        <w:ind w:firstLine="709"/>
        <w:jc w:val="both"/>
        <w:widowControl w:val="off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- строительство маслоэкстракционного завода мощностью по переработке семечки подсолнечника до 1 000 т/сутки, инвестор ООО «Наше масло», планируемый объем инвестиций в 2024 г. – 200,0 млн.руб.; в 2025г. – 400,0 млн.руб.; в 2026 г. – 400,0 млн.руб.</w:t>
      </w:r>
      <w:r/>
    </w:p>
    <w:p>
      <w:pPr>
        <w:pStyle w:val="679"/>
        <w:ind w:firstLine="709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году стартовали работы по реализации проекта по строительству «Автомобильной дороги ст-ца Стародеревянковская – ст-ца Ленинградская – ст-ца Кисляковская на участке обхода станицы Ленинградской в Ленинградском районе» в рамках реализации  государстве</w:t>
      </w:r>
      <w:r>
        <w:rPr>
          <w:rFonts w:ascii="Times New Roman" w:hAnsi="Times New Roman" w:cs="Times New Roman"/>
          <w:sz w:val="28"/>
          <w:szCs w:val="28"/>
        </w:rPr>
        <w:t xml:space="preserve">нной программы Краснодарского края «Развитие сети автомобильных  дорог Краснодарского края» (подпрограмма «Строительство, реконструкция, капитальный ремонт, ремонт и содержание автомобильных дорог регионального и межмуниципального значения Краснодарского к</w:t>
      </w:r>
      <w:r>
        <w:rPr>
          <w:rFonts w:ascii="Times New Roman" w:hAnsi="Times New Roman" w:cs="Times New Roman"/>
          <w:sz w:val="28"/>
          <w:szCs w:val="28"/>
        </w:rPr>
        <w:t xml:space="preserve">рая»). Протяженность обхода ст. Ленинградской составит более 20 км. Работы разбили на пять этапов общей стоимостью более 10 млрд рублей. В составе обхода будут три многоуровневые транспортные развязки. Также проект предусматривает переустройство комплекса </w:t>
      </w:r>
      <w:r>
        <w:rPr>
          <w:rFonts w:ascii="Times New Roman" w:hAnsi="Times New Roman" w:cs="Times New Roman"/>
          <w:sz w:val="28"/>
          <w:szCs w:val="28"/>
        </w:rPr>
        <w:t xml:space="preserve">инженерных коммуникаций. Строительство дороги продлено до 2026 года в связи с внесением текущих изменений в проектную документацию. Министерством транспорта и дорожного хозяйства Краснодарского края заключен контракт с ООО «СтройЮгРегион" на 6,2 млрд. руб.</w:t>
      </w:r>
      <w:r/>
    </w:p>
    <w:p>
      <w:pPr>
        <w:pStyle w:val="679"/>
        <w:ind w:firstLine="709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                                              </w:t>
      </w:r>
      <w:r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  <w:t xml:space="preserve">Строительство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Объем работ, выполненных по виду деятельности «строительство» (включает стоимость работ, выполненных организациями собственными силами по виду деятельности «строительство», на основании договоров </w:t>
      </w:r>
      <w:r>
        <w:rPr>
          <w:rFonts w:ascii="Times New Roman" w:hAnsi="Times New Roman" w:eastAsia="Calibri" w:cs="Times New Roman"/>
          <w:sz w:val="28"/>
          <w:szCs w:val="28"/>
        </w:rPr>
        <w:t xml:space="preserve">и  контрактов, заключаемых с заказчиками, в стоимость работ включает работы по строительству новых объектов, капитальному и текущему ремонту, реконструкции, модернизации жилых и нежилых зданий и инженерных сооружений за счет всех источников финансирования)</w:t>
      </w:r>
      <w:r>
        <w:rPr>
          <w:rFonts w:ascii="Calibri" w:hAnsi="Calibri" w:eastAsia="Calibri" w:cs="Times New Roman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по полному кругу организаций в 2021 году составил: 547,1</w:t>
      </w:r>
      <w:r>
        <w:rPr>
          <w:rFonts w:ascii="Calibri" w:hAnsi="Calibri" w:eastAsia="Calibri" w:cs="Times New Roman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млн. руб., или 91,3 % к уровню 2020 года</w:t>
      </w:r>
      <w:r>
        <w:rPr>
          <w:rFonts w:ascii="Times New Roman" w:hAnsi="Times New Roman" w:eastAsia="Calibri" w:cs="Times New Roman"/>
          <w:sz w:val="28"/>
          <w:szCs w:val="28"/>
        </w:rPr>
        <w:t xml:space="preserve"> в сопостовимых ценах</w:t>
      </w:r>
      <w:r>
        <w:rPr>
          <w:rFonts w:ascii="Times New Roman" w:hAnsi="Times New Roman" w:eastAsia="Calibri" w:cs="Times New Roman"/>
          <w:sz w:val="28"/>
          <w:szCs w:val="28"/>
        </w:rPr>
        <w:t xml:space="preserve">,  в 2022 году составил 336,6 млн. руб., или 55,4 % </w:t>
      </w:r>
      <w:r>
        <w:rPr>
          <w:rFonts w:ascii="Times New Roman" w:hAnsi="Times New Roman" w:eastAsia="Calibri" w:cs="Times New Roman"/>
          <w:sz w:val="28"/>
          <w:szCs w:val="28"/>
        </w:rPr>
        <w:t xml:space="preserve">в сопостовимых </w:t>
      </w:r>
      <w:r>
        <w:rPr>
          <w:rFonts w:ascii="Times New Roman" w:hAnsi="Times New Roman" w:eastAsia="Calibri" w:cs="Times New Roman"/>
          <w:sz w:val="28"/>
          <w:szCs w:val="28"/>
        </w:rPr>
        <w:t xml:space="preserve">ценах </w:t>
      </w:r>
      <w:r>
        <w:rPr>
          <w:rFonts w:ascii="Times New Roman" w:hAnsi="Times New Roman" w:eastAsia="Calibri" w:cs="Times New Roman"/>
          <w:sz w:val="28"/>
          <w:szCs w:val="28"/>
        </w:rPr>
        <w:t xml:space="preserve">к уровню  2021 года.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На скачкообразное выполнение объема строительных работ оказывают влияние внутренние отраслевые факторы: ро</w:t>
      </w:r>
      <w:r>
        <w:rPr>
          <w:rFonts w:ascii="Times New Roman" w:hAnsi="Times New Roman" w:eastAsia="Calibri" w:cs="Times New Roman"/>
          <w:sz w:val="28"/>
          <w:szCs w:val="28"/>
        </w:rPr>
        <w:t xml:space="preserve">ст цен на строительные материалы, комплектующие, нарушение логистических цепочек поставки комплектующих и инженерно-технологического оборудования, колебания спроса на подрядные работы, конкуренция со стороны  строительных фирм из других регионов, дефицит к</w:t>
      </w:r>
      <w:r>
        <w:rPr>
          <w:rFonts w:ascii="Times New Roman" w:hAnsi="Times New Roman" w:eastAsia="Calibri" w:cs="Times New Roman"/>
          <w:sz w:val="28"/>
          <w:szCs w:val="28"/>
        </w:rPr>
        <w:t xml:space="preserve">валифицированных трудовых ресурсов, технологическое отставание отрасли, необходимость повышения производительности труда и эффективности строительного производства, текущие внесения изменений в проектную документацию обусловленное вышеназванными факторами.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Снижение в 2022 г. объемов работ к уровню 2021 г. связано с отсутствием количества запланированных заказов от населе</w:t>
      </w:r>
      <w:r>
        <w:rPr>
          <w:rFonts w:ascii="Times New Roman" w:hAnsi="Times New Roman" w:eastAsia="Calibri" w:cs="Times New Roman"/>
          <w:sz w:val="28"/>
          <w:szCs w:val="28"/>
        </w:rPr>
        <w:t xml:space="preserve">ния на выполнение работ в ПАО «Газпром» в связи со вступлением закона о бесплатном проведении газопровода до границ земельного участка (184 ФЗ от 11.06.2021г. «О внесении изменений в Федеральный закон «О газоснабжении в РФ», приостановлением строительства </w:t>
      </w:r>
      <w:r>
        <w:rPr>
          <w:rFonts w:ascii="Times New Roman" w:hAnsi="Times New Roman" w:eastAsia="Calibri" w:cs="Times New Roman"/>
          <w:sz w:val="28"/>
          <w:szCs w:val="28"/>
        </w:rPr>
        <w:t xml:space="preserve">«А</w:t>
      </w:r>
      <w:r>
        <w:rPr>
          <w:rFonts w:ascii="Times New Roman" w:hAnsi="Times New Roman" w:eastAsia="Calibri" w:cs="Times New Roman"/>
          <w:sz w:val="28"/>
          <w:szCs w:val="28"/>
        </w:rPr>
        <w:t xml:space="preserve">втомобильной дороги  ст-ца Стародеревянковская-ст-ца Ленинградская-ст-ца Кисляковская на участке обхода  станицы Ленинградской в Ленинградском районе</w:t>
      </w:r>
      <w:r>
        <w:rPr>
          <w:rFonts w:ascii="Times New Roman" w:hAnsi="Times New Roman" w:eastAsia="Calibri" w:cs="Times New Roman"/>
          <w:sz w:val="28"/>
          <w:szCs w:val="28"/>
        </w:rPr>
        <w:t xml:space="preserve">»</w:t>
      </w:r>
      <w:r>
        <w:rPr>
          <w:rFonts w:ascii="Times New Roman" w:hAnsi="Times New Roman" w:eastAsia="Calibri" w:cs="Times New Roman"/>
          <w:sz w:val="28"/>
          <w:szCs w:val="28"/>
        </w:rPr>
        <w:t xml:space="preserve">  из-за необходимости переустройства сетей газоснабжения.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На прогнозируемый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период планируется положительная динамика выполнения строительных работ, в том числе по  строительству автомобильной дороги  ст-ца Стародеревянковская-ст-ца Ленинградская-ст-ца Кисляковская на участке обхода  станицы Ленинградской в Ленинградском районе).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Строительство дороги продлено до 2026 года</w:t>
      </w:r>
      <w:r>
        <w:rPr>
          <w:rFonts w:ascii="Times New Roman" w:hAnsi="Times New Roman" w:eastAsia="Calibri" w:cs="Times New Roman"/>
          <w:sz w:val="28"/>
          <w:szCs w:val="28"/>
        </w:rPr>
        <w:t xml:space="preserve"> в связи с внесением текущих изменений в проектную документацию. Министерством транспорта и дорожного хозяйства Краснодарского края заключен контракт с ООО «СтройЮгРегион" на 6, 2 млрд .руб. Строительство дороги будет выполняться поэтапно в 2024-20206 г.г.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Объем работ, выполненных по виду деятельности «строительство» по малым организациям, составил 263,4 млн.руб., или  67,7 % к уровню 2021 года</w:t>
      </w:r>
      <w:r>
        <w:rPr>
          <w:rFonts w:ascii="Times New Roman" w:hAnsi="Times New Roman" w:eastAsia="Calibri" w:cs="Times New Roman"/>
          <w:sz w:val="28"/>
          <w:szCs w:val="28"/>
        </w:rPr>
        <w:t xml:space="preserve"> в сопостовимых ценах</w:t>
      </w:r>
      <w:r>
        <w:rPr>
          <w:rFonts w:ascii="Times New Roman" w:hAnsi="Times New Roman" w:eastAsia="Calibri" w:cs="Times New Roman"/>
          <w:sz w:val="28"/>
          <w:szCs w:val="28"/>
        </w:rPr>
        <w:t xml:space="preserve">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Снижение объема работ в категории "малые предприятия" произошло за счет снижения деятельности субъектов МСП изменения спроса на строительные услуги в связи с повышением цен на строительные матер</w:t>
      </w:r>
      <w:r>
        <w:rPr>
          <w:rFonts w:ascii="Times New Roman" w:hAnsi="Times New Roman" w:eastAsia="Calibri" w:cs="Times New Roman"/>
          <w:sz w:val="28"/>
          <w:szCs w:val="28"/>
        </w:rPr>
        <w:t xml:space="preserve">иалы. В прогнозируемом периоде ожидается рост объема строительных подрядных работ по категории "малые предприятия". Наибольший удельный вес строительных работ в 2021-2022 году по категории «малые предприятия»  обеспечивается  ООО «Сантехмонтаж», ООО «АМЭ».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Также в прогнозируемом периоде  планируется  строительство  Малобюджетного спортивного  комплекса в ст. Крыловской, Центра единоборств в </w:t>
      </w:r>
      <w:r>
        <w:rPr>
          <w:rFonts w:ascii="Times New Roman" w:hAnsi="Times New Roman" w:eastAsia="Calibri" w:cs="Times New Roman"/>
          <w:sz w:val="28"/>
          <w:szCs w:val="28"/>
        </w:rPr>
        <w:t xml:space="preserve">ст. Ленинградской, ВОП  в х. Западном, "Подводящей теплотрассы блочно-модульной котельной пос. Сахарного завода СТ Ленинградское",  "Газопровода высокого давления  х. Краснострелецкого и х. Андрющенко, протяженностью 12 км., фруктохранилища 500 кв.м., скла</w:t>
      </w:r>
      <w:r>
        <w:rPr>
          <w:rFonts w:ascii="Times New Roman" w:hAnsi="Times New Roman" w:eastAsia="Calibri" w:cs="Times New Roman"/>
          <w:sz w:val="28"/>
          <w:szCs w:val="28"/>
        </w:rPr>
        <w:t xml:space="preserve">да хранения сельхозпродукции 1455,6 кв. м., очистных сооружений 1050,5 кв. м., кв.м., склада зерна 1020,8 кв.м., склада 1464,2 кв.м., блочно-модульной котельной 96,1 кв. м., здания для сортировки 1006,4 кв.м., жилого дома блокированной застройки 71,7 кв.м.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Объем работ, выполненных по виду деятельности «строительство» по крупным и средним организациям,</w:t>
      </w:r>
      <w:r>
        <w:rPr>
          <w:rFonts w:ascii="Calibri" w:hAnsi="Calibri" w:eastAsia="Calibri" w:cs="Times New Roman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составил 73,2 млн.руб., или 33,6 % к уровню 2021 года</w:t>
      </w:r>
      <w:r>
        <w:rPr>
          <w:rFonts w:ascii="Times New Roman" w:hAnsi="Times New Roman" w:eastAsia="Calibri" w:cs="Times New Roman"/>
          <w:sz w:val="28"/>
          <w:szCs w:val="28"/>
        </w:rPr>
        <w:t xml:space="preserve"> в сопостовимых ценах</w:t>
      </w:r>
      <w:r>
        <w:rPr>
          <w:rFonts w:ascii="Times New Roman" w:hAnsi="Times New Roman" w:eastAsia="Calibri" w:cs="Times New Roman"/>
          <w:sz w:val="28"/>
          <w:szCs w:val="28"/>
        </w:rPr>
        <w:t xml:space="preserve">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Снижение в 2022 году к уровню 2021 г. объемов строительных работ связано с приостановлением строительства автомобильной дороги. На прогнозируемый период планируется положительная динамика выполнения строительных работ, в том числе по строительству </w:t>
      </w:r>
      <w:r>
        <w:rPr>
          <w:rFonts w:ascii="Times New Roman" w:hAnsi="Times New Roman" w:eastAsia="Calibri" w:cs="Times New Roman"/>
          <w:sz w:val="28"/>
          <w:szCs w:val="28"/>
        </w:rPr>
        <w:t xml:space="preserve">«А</w:t>
      </w:r>
      <w:r>
        <w:rPr>
          <w:rFonts w:ascii="Times New Roman" w:hAnsi="Times New Roman" w:eastAsia="Calibri" w:cs="Times New Roman"/>
          <w:sz w:val="28"/>
          <w:szCs w:val="28"/>
        </w:rPr>
        <w:t xml:space="preserve">втомобильной дороги  ст-ца Стародеревянковская-ст-ца Ленинградская-ст-ца Кисляковская на участке обхода станицы Ленин</w:t>
      </w:r>
      <w:r>
        <w:rPr>
          <w:rFonts w:ascii="Times New Roman" w:hAnsi="Times New Roman" w:eastAsia="Calibri" w:cs="Times New Roman"/>
          <w:sz w:val="28"/>
          <w:szCs w:val="28"/>
        </w:rPr>
        <w:t xml:space="preserve">градской в Ленинградском районе»</w:t>
      </w:r>
      <w:r>
        <w:rPr>
          <w:rFonts w:ascii="Times New Roman" w:hAnsi="Times New Roman" w:eastAsia="Calibri" w:cs="Times New Roman"/>
          <w:sz w:val="28"/>
          <w:szCs w:val="28"/>
        </w:rPr>
        <w:t xml:space="preserve">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/>
    </w:p>
    <w:p>
      <w:pPr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b/>
          <w:sz w:val="28"/>
          <w:szCs w:val="28"/>
          <w:highlight w:val="white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  <w:u w:val="single"/>
        </w:rPr>
      </w:r>
      <w:r/>
    </w:p>
    <w:p>
      <w:pPr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  <w:highlight w:val="white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8"/>
          <w:szCs w:val="28"/>
          <w:highlight w:val="white"/>
          <w:u w:val="single"/>
        </w:rPr>
        <w:t xml:space="preserve">Жилищное строительство</w:t>
      </w:r>
      <w:r/>
    </w:p>
    <w:p>
      <w:pPr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  <w:highlight w:val="white"/>
          <w:u w:val="single"/>
        </w:rPr>
      </w:pPr>
      <w:r>
        <w:rPr>
          <w:rFonts w:ascii="Times New Roman" w:hAnsi="Times New Roman" w:cs="Times New Roman"/>
          <w:sz w:val="28"/>
          <w:szCs w:val="28"/>
          <w:highlight w:val="white"/>
          <w:u w:val="single"/>
        </w:rPr>
      </w:r>
      <w:r/>
    </w:p>
    <w:p>
      <w:pPr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      Ввод жилых домов за счет всех источников финансирования в отчетном 2022 году составил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20,73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тыс.кв.м. или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73,0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% к уровню 2021 года, в 2023  году-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21,0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тыс. кв. м или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101,3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% к уровню 2022 года, в 2024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г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оду – 21,3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 тыс. кв. м или 101,5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% к уровню 2023 года, в 2025 году-22,38 тыс.кв.м. или 101,5 % к уровню 2024 года, в 2026 году – 22,72 тыс.кв.м. или 101,5 % к уровню 2026 года.</w:t>
      </w:r>
      <w:r/>
    </w:p>
    <w:p>
      <w:pPr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    В 2022 году наблюдается, снижение данного показателя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в сравнении с отчетным периодом 2021 года, которое обусловлено введением в эксплуатацию в 2021 году многоквартирного четырехэтажного дома, расположенного по адресу: Краснодарский край, Ленинградский район, станица Ленинградская, улица Мира, 12, общей площ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адью 2904,8 кв. м. Застройщик ООО "Специализированный застройщик Стройград - Дон", а также на земельном участке расположенного по адресу: Краснодарский край, Ленинградский район, станица Ленинградская, улица Ярмарочная, 153 А введены в эксплуатацию литер №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3, литер №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4. Общая площадь 2640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кв. м.  </w:t>
      </w:r>
      <w:r/>
    </w:p>
    <w:p>
      <w:pPr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целях улучшения качества жизни на территории муниципального образования Ленинградский район реализуются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национальные проекты, региональные программы, а также муниципальные программы.   </w:t>
      </w:r>
      <w:r/>
    </w:p>
    <w:p>
      <w:pPr>
        <w:ind w:right="10" w:firstLine="709"/>
        <w:jc w:val="both"/>
        <w:spacing w:after="0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 территории муниципального образования Ленинградский район реализуется национальный проект «Формирование комфортной городской среды»,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региональный проект</w:t>
      </w:r>
      <w:r>
        <w:rPr>
          <w:rFonts w:ascii="Times New Roman" w:hAnsi="Times New Roman" w:cs="Times New Roman"/>
          <w:b/>
          <w:i/>
          <w:sz w:val="28"/>
          <w:szCs w:val="28"/>
          <w:highlight w:val="white"/>
        </w:rPr>
        <w:t xml:space="preserve"> – </w:t>
      </w:r>
      <w:r>
        <w:rPr>
          <w:rFonts w:ascii="Times New Roman" w:hAnsi="Times New Roman" w:cs="Times New Roman"/>
          <w:iCs/>
          <w:sz w:val="28"/>
          <w:szCs w:val="28"/>
          <w:highlight w:val="white"/>
        </w:rPr>
        <w:t xml:space="preserve">«Качество питьевой воды».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В рамках проекта проводится реконструкция водозабора со строительством станции очистки воды от сероводорода. 26 апреля 2022 года заключен муниципальный контракт с ГУП КК </w:t>
      </w:r>
      <w:r>
        <w:rPr>
          <w:rFonts w:ascii="Times New Roman" w:hAnsi="Times New Roman" w:cs="Times New Roman"/>
          <w:sz w:val="28"/>
          <w:szCs w:val="28"/>
        </w:rPr>
        <w:t xml:space="preserve">СЕВЕРО-ВОСТОЧНАЯ ВОДНАЯ УПРАВЛЯЮЩАЯ КОМПАНИЯ «КУРГАНИНСКИЙ ГРУППОВОЙ ВОДОПРОВОД» на выполнение строительно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монтажных работ на данном объекте водозабора со строительством станции очистки воды от сероводорода производительностью 10000 м/сут. Это поможет улучшить качество жизни сельского населения, что приведёт к благоустройству инфраструктуры.</w:t>
      </w:r>
      <w:r/>
    </w:p>
    <w:p>
      <w:pPr>
        <w:ind w:right="11" w:firstLine="709"/>
        <w:jc w:val="both"/>
        <w:spacing w:after="0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национального проекта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«Формирование комфортной городской среды»</w:t>
      </w:r>
      <w:r>
        <w:rPr>
          <w:rFonts w:ascii="Times New Roman" w:hAnsi="Times New Roman" w:cs="Times New Roman"/>
          <w:sz w:val="28"/>
          <w:szCs w:val="28"/>
        </w:rPr>
        <w:t xml:space="preserve"> благоустраиваются общественные территории (парки, скверы), это позволит сделать территорию Ленинградского района более комфортной для проживания.</w:t>
      </w:r>
      <w:r/>
    </w:p>
    <w:p>
      <w:pPr>
        <w:ind w:right="11"/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 На территории муниципального образования Ленинградский район реализуется муниципальная программа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«Обеспечение жильем молодых семей в муниципальном образовании Ленинградский район»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В рамках реализации мероприятий, запланированных в отчетном году, была проведена следующая работа (перечень мероприятий и объемы выполнения): </w:t>
      </w:r>
      <w:r/>
    </w:p>
    <w:p>
      <w:pPr>
        <w:ind w:right="11" w:firstLine="709"/>
        <w:jc w:val="both"/>
        <w:spacing w:after="0"/>
        <w:shd w:val="clear" w:color="auto" w:fill="ffff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1) Составление списка молодых семей, претендующих на получение социальной выплаты; </w:t>
      </w:r>
      <w:r/>
    </w:p>
    <w:p>
      <w:pPr>
        <w:ind w:right="11" w:firstLine="709"/>
        <w:jc w:val="both"/>
        <w:spacing w:after="0"/>
        <w:shd w:val="clear" w:color="auto" w:fill="ffff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2) Определение ежегодного объема средств бюджета муниципального образования Ленинградский район на реализацию мероприятий программы; </w:t>
      </w:r>
      <w:r/>
    </w:p>
    <w:p>
      <w:pPr>
        <w:ind w:right="11" w:firstLine="709"/>
        <w:jc w:val="both"/>
        <w:spacing w:after="0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3) В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ыдача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свидетельств о праве на получение социальной выплаты на приобретение жилого помещения или строительство индивидуального жилого дома; </w:t>
      </w:r>
      <w:r/>
    </w:p>
    <w:p>
      <w:pPr>
        <w:ind w:right="11" w:firstLine="709"/>
        <w:jc w:val="both"/>
        <w:spacing w:after="0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4) Предоставление молодым семьям, участникам Программы, социальных выплат на приобретение или строительство жилья;</w:t>
      </w:r>
      <w:r/>
    </w:p>
    <w:p>
      <w:pPr>
        <w:ind w:right="11" w:firstLine="709"/>
        <w:jc w:val="both"/>
        <w:spacing w:after="0"/>
        <w:shd w:val="clear" w:color="auto" w:fill="ffff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5) Осуществление контроля за реализацией Программы в пределах полномочий, закреплённых за администрацией муниципального образования Ленинградский район; </w:t>
      </w:r>
      <w:r/>
    </w:p>
    <w:p>
      <w:pPr>
        <w:ind w:right="11" w:firstLine="709"/>
        <w:jc w:val="both"/>
        <w:spacing w:after="0"/>
        <w:shd w:val="clear" w:color="auto" w:fill="ffff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6) Обеспечение освещения целей и задач реализации Программы, хода её реализации в средствах массовой информации; </w:t>
      </w:r>
      <w:r/>
    </w:p>
    <w:p>
      <w:pPr>
        <w:ind w:right="11" w:firstLine="709"/>
        <w:jc w:val="both"/>
        <w:spacing w:after="0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7) Проведение мониторинга реализации Программы на муниципальном уровне, подготовка информационно-аналитических и отчётных материалов. выполнено в 100 % объеме. В 2022 году все 7 мероприятий программы реализованы в полном объеме.</w:t>
      </w:r>
      <w:r/>
    </w:p>
    <w:p>
      <w:pPr>
        <w:ind w:right="11" w:firstLine="851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Ленинградский район в большей части стро</w:t>
      </w:r>
      <w:r>
        <w:rPr>
          <w:rFonts w:ascii="Times New Roman" w:hAnsi="Times New Roman" w:cs="Times New Roman"/>
          <w:sz w:val="28"/>
          <w:szCs w:val="28"/>
        </w:rPr>
        <w:t xml:space="preserve">иться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индивидуальное жильё. Ведение личного подсобного хозяйства остаётся одной из </w:t>
      </w:r>
      <w:r>
        <w:rPr>
          <w:rFonts w:ascii="Times New Roman" w:hAnsi="Times New Roman" w:cs="Times New Roman"/>
          <w:sz w:val="28"/>
          <w:szCs w:val="28"/>
        </w:rPr>
        <w:t xml:space="preserve">видов </w:t>
      </w:r>
      <w:r>
        <w:rPr>
          <w:rFonts w:ascii="Times New Roman" w:hAnsi="Times New Roman" w:cs="Times New Roman"/>
          <w:sz w:val="28"/>
          <w:szCs w:val="28"/>
        </w:rPr>
        <w:t xml:space="preserve">деятельност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sz w:val="28"/>
          <w:szCs w:val="28"/>
        </w:rPr>
        <w:t xml:space="preserve">населения.</w:t>
      </w:r>
      <w:r/>
    </w:p>
    <w:p>
      <w:pPr>
        <w:ind w:right="11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Обеспеченность жильем на конец года в расчете на душу населения составила в 2022 году 27,3 тыс. кв.м., или 106,6 % к уровню 2021 г. Данный показатель планируется увеличи</w:t>
      </w:r>
      <w:r>
        <w:rPr>
          <w:rFonts w:ascii="Times New Roman" w:hAnsi="Times New Roman" w:cs="Times New Roman"/>
          <w:sz w:val="28"/>
          <w:szCs w:val="28"/>
        </w:rPr>
        <w:t xml:space="preserve">ть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right="11"/>
        <w:jc w:val="both"/>
        <w:spacing w:after="0" w:line="240" w:lineRule="auto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прогнозируемом периоде рост ввода в эксплуатацию жилых домов ожидается за счет увеличения объема ИЖС. </w:t>
      </w:r>
      <w:r/>
    </w:p>
    <w:p>
      <w:pPr>
        <w:ind w:right="11"/>
        <w:jc w:val="both"/>
        <w:spacing w:after="0" w:line="240" w:lineRule="auto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Население обращается за мерами государственной поддержки</w:t>
      </w:r>
      <w:r>
        <w:rPr>
          <w:rFonts w:ascii="Times New Roman" w:hAnsi="Times New Roman" w:cs="Times New Roman"/>
          <w:sz w:val="28"/>
          <w:szCs w:val="28"/>
        </w:rPr>
        <w:t xml:space="preserve">  (кредитование граждан на улучшение жилищных условий и личных накоплений), строительства многоквартирных домов, участия граждан в Государственной программе РФ «Комплексное развитие сельских территорий» - Ипотечные кредиты по льготной ставке до 3% годовых.</w:t>
      </w:r>
      <w:r/>
    </w:p>
    <w:p>
      <w:pPr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eastAsia="Calibri" w:cs="Times New Roman"/>
          <w:b/>
          <w:sz w:val="28"/>
          <w:szCs w:val="28"/>
          <w:u w:val="single"/>
        </w:rPr>
        <w:t xml:space="preserve">Малый бизнес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</w:rPr>
      </w:pPr>
      <w:r>
        <w:rPr>
          <w:rFonts w:ascii="Times New Roman" w:hAnsi="Times New Roman" w:eastAsia="Calibri" w:cs="Times New Roman"/>
          <w:sz w:val="28"/>
        </w:rPr>
        <w:t xml:space="preserve">Сфера малого предпринимательства в МО Ленинградский район имеет многоотраслевую структуру и представлена следующим образом: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</w:rPr>
      </w:pPr>
      <w:r>
        <w:rPr>
          <w:rFonts w:ascii="Times New Roman" w:hAnsi="Times New Roman" w:eastAsia="Calibri" w:cs="Times New Roman"/>
          <w:sz w:val="28"/>
        </w:rPr>
        <w:t xml:space="preserve">В 2022 году количество субъектов малого предпринимательства составило 2014 единиц, что на 14 единиц меньше уровня 2021 г., в том числе:</w:t>
      </w:r>
      <w:r/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8"/>
        </w:rPr>
      </w:pPr>
      <w:r>
        <w:rPr>
          <w:rFonts w:ascii="Times New Roman" w:hAnsi="Times New Roman" w:eastAsia="Calibri" w:cs="Times New Roman"/>
          <w:sz w:val="28"/>
        </w:rPr>
        <w:t xml:space="preserve">количество юридических лиц в 2022 году составило 201 единицу, что на 7 единиц меньше уровня 2021 года, количество индивидуальных предпринимателей в 2022 году сократилось н</w:t>
      </w:r>
      <w:r>
        <w:rPr>
          <w:rFonts w:ascii="Times New Roman" w:hAnsi="Times New Roman" w:eastAsia="Calibri" w:cs="Times New Roman"/>
          <w:sz w:val="28"/>
        </w:rPr>
        <w:t xml:space="preserve">а 7 единиц к уровню 2021 года, что</w:t>
      </w:r>
      <w:r>
        <w:rPr>
          <w:rFonts w:ascii="Times New Roman" w:hAnsi="Times New Roman" w:eastAsia="Calibri" w:cs="Times New Roman"/>
          <w:sz w:val="28"/>
        </w:rPr>
        <w:t xml:space="preserve"> п</w:t>
      </w:r>
      <w:r>
        <w:rPr>
          <w:rFonts w:ascii="Times New Roman" w:hAnsi="Times New Roman" w:eastAsia="Calibri" w:cs="Times New Roman"/>
          <w:sz w:val="28"/>
        </w:rPr>
        <w:t xml:space="preserve">роисходит из </w:t>
      </w:r>
      <w:r>
        <w:rPr>
          <w:rFonts w:ascii="Times New Roman" w:hAnsi="Times New Roman" w:eastAsia="Calibri" w:cs="Times New Roman"/>
          <w:sz w:val="28"/>
        </w:rPr>
        <w:t xml:space="preserve">- </w:t>
      </w:r>
      <w:r>
        <w:rPr>
          <w:rFonts w:ascii="Times New Roman" w:hAnsi="Times New Roman" w:eastAsia="Calibri" w:cs="Times New Roman"/>
          <w:sz w:val="28"/>
        </w:rPr>
        <w:t xml:space="preserve">за прекращения</w:t>
      </w:r>
      <w:r>
        <w:rPr>
          <w:rFonts w:ascii="Times New Roman" w:hAnsi="Times New Roman" w:eastAsia="Calibri" w:cs="Times New Roman"/>
          <w:sz w:val="28"/>
        </w:rPr>
        <w:t xml:space="preserve"> их деятельности </w:t>
      </w:r>
      <w:r>
        <w:rPr>
          <w:rFonts w:ascii="Times New Roman" w:hAnsi="Times New Roman" w:eastAsia="Calibri" w:cs="Times New Roman"/>
          <w:sz w:val="28"/>
        </w:rPr>
        <w:t xml:space="preserve">по решению </w:t>
      </w:r>
      <w:r>
        <w:rPr>
          <w:rFonts w:ascii="Times New Roman" w:hAnsi="Times New Roman" w:eastAsia="Calibri" w:cs="Times New Roman"/>
          <w:sz w:val="28"/>
        </w:rPr>
        <w:t xml:space="preserve">самого </w:t>
      </w:r>
      <w:r>
        <w:rPr>
          <w:rFonts w:ascii="Times New Roman" w:hAnsi="Times New Roman" w:eastAsia="Calibri" w:cs="Times New Roman"/>
          <w:sz w:val="28"/>
        </w:rPr>
        <w:t xml:space="preserve">субьекта</w:t>
      </w:r>
      <w:r>
        <w:rPr>
          <w:rFonts w:ascii="Times New Roman" w:hAnsi="Times New Roman" w:eastAsia="Calibri" w:cs="Times New Roman"/>
          <w:sz w:val="28"/>
        </w:rPr>
        <w:t xml:space="preserve">, но имеет тенденцию к росту </w:t>
      </w:r>
      <w:r>
        <w:rPr>
          <w:rFonts w:ascii="Times New Roman" w:hAnsi="Times New Roman" w:eastAsia="Calibri" w:cs="Times New Roman"/>
          <w:sz w:val="28"/>
        </w:rPr>
        <w:t xml:space="preserve">количества </w:t>
      </w:r>
      <w:r>
        <w:rPr>
          <w:rFonts w:ascii="Times New Roman" w:hAnsi="Times New Roman" w:eastAsia="Calibri" w:cs="Times New Roman"/>
          <w:sz w:val="28"/>
        </w:rPr>
        <w:t xml:space="preserve">в п</w:t>
      </w:r>
      <w:r>
        <w:rPr>
          <w:rFonts w:ascii="Times New Roman" w:hAnsi="Times New Roman" w:eastAsia="Calibri" w:cs="Times New Roman"/>
          <w:sz w:val="28"/>
        </w:rPr>
        <w:t xml:space="preserve">рогнозируемом периоде</w:t>
      </w:r>
      <w:r>
        <w:rPr>
          <w:rFonts w:ascii="Times New Roman" w:hAnsi="Times New Roman" w:eastAsia="Calibri" w:cs="Times New Roman"/>
          <w:sz w:val="28"/>
        </w:rPr>
        <w:t xml:space="preserve">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</w:rPr>
        <w:t xml:space="preserve">В 2023 году количество индивидуальных предприни</w:t>
      </w:r>
      <w:r>
        <w:rPr>
          <w:rFonts w:ascii="Times New Roman" w:hAnsi="Times New Roman" w:eastAsia="Calibri" w:cs="Times New Roman"/>
          <w:sz w:val="28"/>
        </w:rPr>
        <w:t xml:space="preserve">мателей составит 1838 человек, что на 1,36 % выше уровня 2022 года (в 2024 году – 1845 человек, что на 0,4 % выше к 2023 г., в 2025 году – 1854 человека, что на 0,5% выше к уровню 2024 г., в 2026 году – 1871 человек, что на 0,9 % выше к уровню 2025 года). </w:t>
      </w:r>
      <w:r>
        <w:rPr>
          <w:rFonts w:ascii="Times New Roman" w:hAnsi="Times New Roman" w:eastAsia="Calibri" w:cs="Times New Roman"/>
          <w:sz w:val="28"/>
          <w:szCs w:val="28"/>
        </w:rPr>
        <w:t xml:space="preserve">Данная тенденция обусловлена тем, что бизнес 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даптировался под текущ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ую экономическую ситуацию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предприниматели оценили риски, нашли новые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методы ведения коммерческой деятельности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рынки сбыта,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воспользовались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поддержки со стороны государства.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</w:rPr>
      </w:pPr>
      <w:r>
        <w:rPr>
          <w:rFonts w:ascii="Times New Roman" w:hAnsi="Times New Roman" w:eastAsia="Calibri" w:cs="Times New Roman"/>
          <w:sz w:val="28"/>
        </w:rPr>
        <w:t xml:space="preserve">Численность работников субъектов малого предпринимательства в 2022 году составила 2241 человек, что на 0,4 % меньше уровня 2021 года. Это связано с уменьшением количества малых юридических лиц на 7 единиц, </w:t>
      </w:r>
      <w:r>
        <w:rPr>
          <w:rFonts w:ascii="Times New Roman" w:hAnsi="Times New Roman" w:eastAsia="Calibri" w:cs="Times New Roman"/>
          <w:sz w:val="28"/>
        </w:rPr>
        <w:t xml:space="preserve">снижением</w:t>
      </w:r>
      <w:r>
        <w:rPr>
          <w:rFonts w:ascii="Times New Roman" w:hAnsi="Times New Roman" w:eastAsia="Calibri" w:cs="Times New Roman"/>
          <w:sz w:val="28"/>
        </w:rPr>
        <w:t xml:space="preserve"> численности индивидуальных предпринимателей на 7 единиц в категории «малые».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</w:rPr>
      </w:pPr>
      <w:r>
        <w:rPr>
          <w:rFonts w:ascii="Times New Roman" w:hAnsi="Times New Roman" w:eastAsia="Calibri" w:cs="Times New Roman"/>
          <w:sz w:val="28"/>
        </w:rPr>
        <w:t xml:space="preserve">Среднесписочная численность работников (без внешних </w:t>
      </w:r>
      <w:r>
        <w:rPr>
          <w:rFonts w:ascii="Times New Roman" w:hAnsi="Times New Roman" w:eastAsia="Calibri" w:cs="Times New Roman"/>
          <w:sz w:val="28"/>
        </w:rPr>
        <w:t xml:space="preserve">совместителей) юридических лиц по итогам 2022 года составила 2241 чел., что на 0,4% меньше уровня 2021 г. В 2023 году среднесписочная численность работников прогнозируется на уровне 2239 чел., что на 0,1 % меньше уровня 2022 г., в 2024 году – 2246 чел., чт</w:t>
      </w:r>
      <w:r>
        <w:rPr>
          <w:rFonts w:ascii="Times New Roman" w:hAnsi="Times New Roman" w:eastAsia="Calibri" w:cs="Times New Roman"/>
          <w:sz w:val="28"/>
        </w:rPr>
        <w:t xml:space="preserve">о на 0,3% больше уровня 2023 г., в 2025 г. – 2259 чел., что на 0,6 % больше уровня 2024 года, в 2026 г.- 2280 чел., что 0,9% больше уровня 2025 года. Тенденцией повышения послужили меры по борьбе с неформальной занятостью в Ленинградском районе, а именно: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</w:rPr>
      </w:pPr>
      <w:r>
        <w:rPr>
          <w:rFonts w:ascii="Times New Roman" w:hAnsi="Times New Roman" w:eastAsia="Calibri" w:cs="Times New Roman"/>
          <w:sz w:val="28"/>
        </w:rPr>
        <w:t xml:space="preserve">1) проведение информационно — разъяснительной кампании для экономически активного населения и работодателей с целью формирования негативного отношения к неформальной занятости;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</w:rPr>
      </w:pPr>
      <w:r>
        <w:rPr>
          <w:rFonts w:ascii="Times New Roman" w:hAnsi="Times New Roman" w:eastAsia="Calibri" w:cs="Times New Roman"/>
          <w:sz w:val="28"/>
        </w:rPr>
        <w:t xml:space="preserve">2) организация телефонов «горячей» линии для приема информации от граждан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по факту неофициального трудоустройства, а также уклонения от уплаты налогов и взносов</w:t>
      </w:r>
      <w:r>
        <w:rPr>
          <w:rFonts w:ascii="Times New Roman" w:hAnsi="Times New Roman" w:eastAsia="Calibri" w:cs="Times New Roman"/>
          <w:sz w:val="28"/>
        </w:rPr>
        <w:t xml:space="preserve">, регулярное размещение информации об </w:t>
      </w:r>
      <w:r>
        <w:rPr>
          <w:rFonts w:ascii="Times New Roman" w:hAnsi="Times New Roman" w:eastAsia="Calibri" w:cs="Times New Roman"/>
          <w:sz w:val="28"/>
        </w:rPr>
        <w:t xml:space="preserve">ответственности</w:t>
      </w:r>
      <w:r>
        <w:rPr>
          <w:rFonts w:ascii="Times New Roman" w:hAnsi="Times New Roman" w:eastAsia="Calibri" w:cs="Times New Roman"/>
          <w:sz w:val="28"/>
        </w:rPr>
        <w:t xml:space="preserve"> </w:t>
      </w:r>
      <w:r>
        <w:rPr>
          <w:rFonts w:ascii="Times New Roman" w:hAnsi="Times New Roman" w:eastAsia="Calibri" w:cs="Times New Roman"/>
          <w:sz w:val="28"/>
        </w:rPr>
        <w:t xml:space="preserve">и рисках </w:t>
      </w:r>
      <w:r>
        <w:rPr>
          <w:rFonts w:ascii="Times New Roman" w:hAnsi="Times New Roman" w:eastAsia="Calibri" w:cs="Times New Roman"/>
          <w:sz w:val="28"/>
        </w:rPr>
        <w:t xml:space="preserve">осуществления неформальной трудовой деятельности;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</w:rPr>
      </w:pPr>
      <w:r>
        <w:rPr>
          <w:rFonts w:ascii="Times New Roman" w:hAnsi="Times New Roman" w:eastAsia="Calibri" w:cs="Times New Roman"/>
          <w:sz w:val="28"/>
        </w:rPr>
        <w:t xml:space="preserve">3) распространение информации о мерах административной ответственности за нарушение трудового законодательства, в том числе, за не оформление (либо ненадлежащее оформление) трудовых отношений с работник</w:t>
      </w:r>
      <w:r>
        <w:rPr>
          <w:rFonts w:ascii="Times New Roman" w:hAnsi="Times New Roman" w:eastAsia="Calibri" w:cs="Times New Roman"/>
          <w:sz w:val="28"/>
        </w:rPr>
        <w:t xml:space="preserve">ами</w:t>
      </w:r>
      <w:r>
        <w:rPr>
          <w:rFonts w:ascii="Times New Roman" w:hAnsi="Times New Roman" w:eastAsia="Calibri" w:cs="Times New Roman"/>
          <w:sz w:val="28"/>
        </w:rPr>
        <w:t xml:space="preserve">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</w:rPr>
        <w:t xml:space="preserve">В структуре оборота </w:t>
      </w:r>
      <w:r>
        <w:rPr>
          <w:rFonts w:ascii="Times New Roman" w:hAnsi="Times New Roman" w:eastAsia="Calibri" w:cs="Times New Roman"/>
          <w:sz w:val="28"/>
        </w:rPr>
        <w:t xml:space="preserve">по категории «малые предприятия» в 2022 году ведущее место занимают малые предприятия, осуществляющие свою деятельность в сфере торговли оптовой и розничной, ремонте автотранспортных средств и мотоциклов на их долю приходится 70,6% от общего оборота малых </w:t>
      </w:r>
      <w:r>
        <w:rPr>
          <w:rFonts w:ascii="Times New Roman" w:hAnsi="Times New Roman" w:eastAsia="Calibri" w:cs="Times New Roman"/>
          <w:sz w:val="28"/>
        </w:rPr>
        <w:t xml:space="preserve">предприятий. Аналогичная ситуация наблюдается и в структуре оборота по категории «малые индивидуальные предприятия», доля индивидуальных предпринимателей, осуществляющих деятельность в сфере торговли оптовой и розничной, ремонте автотранспортных средств и </w:t>
      </w:r>
      <w:r>
        <w:rPr>
          <w:rFonts w:ascii="Times New Roman" w:hAnsi="Times New Roman" w:eastAsia="Calibri" w:cs="Times New Roman"/>
          <w:sz w:val="28"/>
          <w:szCs w:val="28"/>
        </w:rPr>
        <w:t xml:space="preserve">мотоциклов составляет 62</w:t>
      </w:r>
      <w:r>
        <w:rPr>
          <w:rFonts w:ascii="Times New Roman" w:hAnsi="Times New Roman" w:eastAsia="Calibri" w:cs="Times New Roman"/>
          <w:sz w:val="28"/>
          <w:szCs w:val="28"/>
        </w:rPr>
        <w:t xml:space="preserve">,0</w:t>
      </w:r>
      <w:r>
        <w:rPr>
          <w:rFonts w:ascii="Times New Roman" w:hAnsi="Times New Roman" w:eastAsia="Calibri" w:cs="Times New Roman"/>
          <w:sz w:val="28"/>
          <w:szCs w:val="28"/>
        </w:rPr>
        <w:t xml:space="preserve"> %.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 2022 году количество субъектов среднего предпринимательства составило 5 единиц, это произошло за счет перехода АО «Ленинградское» из категории крупных предприятий в категорию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субъектов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малого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среднего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предпринимательства</w:t>
      </w:r>
      <w:r>
        <w:rPr>
          <w:rFonts w:ascii="Times New Roman" w:hAnsi="Times New Roman" w:eastAsia="Calibri" w:cs="Times New Roman"/>
          <w:sz w:val="28"/>
          <w:szCs w:val="28"/>
        </w:rPr>
        <w:t xml:space="preserve">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</w:rPr>
      </w:pPr>
      <w:r>
        <w:rPr>
          <w:rFonts w:ascii="Times New Roman" w:hAnsi="Times New Roman" w:eastAsia="Calibri" w:cs="Times New Roman"/>
          <w:sz w:val="28"/>
        </w:rPr>
        <w:t xml:space="preserve">Для достижения намеченных целей прогноза социально-экономического развития малого и </w:t>
      </w:r>
      <w:r>
        <w:rPr>
          <w:rFonts w:ascii="Times New Roman" w:hAnsi="Times New Roman" w:eastAsia="Calibri" w:cs="Times New Roman"/>
          <w:sz w:val="28"/>
        </w:rPr>
        <w:t xml:space="preserve">среднего предпринимательства администрацией муниципального образования Ленинградский район осуществляется работа в решении вопросов по реализации приоритетных инвестиционных проектов, финансового оздоровления субъектов малого бизнеса и средних предприятий.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</w:rPr>
        <w:t xml:space="preserve">В а</w:t>
      </w:r>
      <w:r>
        <w:rPr>
          <w:rFonts w:ascii="Times New Roman" w:hAnsi="Times New Roman" w:eastAsia="Calibri" w:cs="Times New Roman"/>
          <w:sz w:val="28"/>
        </w:rPr>
        <w:t xml:space="preserve">дминистраци</w:t>
      </w:r>
      <w:r>
        <w:rPr>
          <w:rFonts w:ascii="Times New Roman" w:hAnsi="Times New Roman" w:eastAsia="Calibri" w:cs="Times New Roman"/>
          <w:sz w:val="28"/>
        </w:rPr>
        <w:t xml:space="preserve">и</w:t>
      </w:r>
      <w:r>
        <w:rPr>
          <w:rFonts w:ascii="Times New Roman" w:hAnsi="Times New Roman" w:eastAsia="Calibri" w:cs="Times New Roman"/>
          <w:sz w:val="28"/>
        </w:rPr>
        <w:t xml:space="preserve"> муниципального образования Ленинградский район </w:t>
      </w:r>
      <w:r>
        <w:rPr>
          <w:rFonts w:ascii="Times New Roman" w:hAnsi="Times New Roman" w:eastAsia="Calibri" w:cs="Times New Roman"/>
          <w:sz w:val="28"/>
        </w:rPr>
        <w:t xml:space="preserve">реализуется</w:t>
      </w:r>
      <w:r>
        <w:rPr>
          <w:rFonts w:ascii="Times New Roman" w:hAnsi="Times New Roman" w:eastAsia="Calibri" w:cs="Times New Roman"/>
          <w:sz w:val="28"/>
        </w:rPr>
        <w:t xml:space="preserve"> муниц</w:t>
      </w:r>
      <w:r>
        <w:rPr>
          <w:rFonts w:ascii="Times New Roman" w:hAnsi="Times New Roman" w:eastAsia="Calibri" w:cs="Times New Roman"/>
          <w:sz w:val="28"/>
        </w:rPr>
        <w:t xml:space="preserve">ипальная программа поддержки и развития малого и среднего предпринимательства в МО Ленинградский район. В рамках данной программы предусмотрены денежные средства на реализацию мероприятий, направленных на укрепление положительного имиджа малого и среднего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предпринимательства</w:t>
      </w:r>
      <w:r>
        <w:rPr>
          <w:rFonts w:ascii="Times New Roman" w:hAnsi="Times New Roman" w:eastAsia="Calibri" w:cs="Times New Roman"/>
          <w:sz w:val="28"/>
          <w:szCs w:val="28"/>
        </w:rPr>
        <w:t xml:space="preserve">, оказание поддержки в виде бесплатных рабочих мест в коворкинге</w:t>
      </w:r>
      <w:r>
        <w:rPr>
          <w:rFonts w:ascii="Times New Roman" w:hAnsi="Times New Roman" w:eastAsia="Calibri" w:cs="Times New Roman"/>
          <w:sz w:val="28"/>
          <w:szCs w:val="28"/>
        </w:rPr>
        <w:t xml:space="preserve">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 доступ субъектов малого и среднего предпринимательства к муниципальному имуществу (оказание имущественной поддержки субъектам малого и среднего предпринимательства, а также организациям, образующим инфрастр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уктуру поддержки субъектов малого и среднего предпринимательства - передача во владение и (или) в пользование муниципального имущества, в том числе земельных участков, зданий, строений, сооружений, нежилых помещений, оборудования, машин, механизмов, устано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вок, транспортных средств, инвентаря, инструментов, на возмездной основе, безвозмездной основе или на льготных условиях субъектам малого и среднего предпринимательства, а также организациям, образующим инфраструктуру поддержки субъектов малого и среднего).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/>
    </w:p>
    <w:p>
      <w:pPr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Финансовый результат</w:t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оказатель «Прибыль прибыльных предприятий» </w:t>
      </w:r>
      <w:r>
        <w:rPr>
          <w:rFonts w:ascii="Times New Roman" w:hAnsi="Times New Roman" w:cs="Times New Roman"/>
          <w:sz w:val="28"/>
          <w:szCs w:val="28"/>
        </w:rPr>
        <w:t xml:space="preserve">(по полному кругу предприятий) составил 6587,684 млн. руб. или 113,7 % к 2021 году, рост прибыли обеспечен следующими отраслями: «Обрабатывающие производство» в 2,1 раза за счет деятельности ОАО «Сахарный завод Ленинградский»,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ЗАО «СК Ленинградский», «Транспортировка и хранение» в 1,7 раза за счет деятельности малых и средних предприятий.</w:t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итогу 2023 года ожидается снижение показателя «Прибыль прибыльных предприятий» (по полному кругу) на 991,684 млн. руб. или на 15, 1 % к уровню 2022 года за счет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сельскохозяйственных</w:t>
      </w:r>
      <w:r>
        <w:rPr>
          <w:rFonts w:ascii="Times New Roman" w:hAnsi="Times New Roman" w:cs="Times New Roman"/>
          <w:sz w:val="28"/>
          <w:szCs w:val="28"/>
        </w:rPr>
        <w:t xml:space="preserve"> предприятий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 связи уменьшением объема производства сельскохозяйственной продукции и ростом затрат. Наибольшее снижение прибыли ожидается в ООО «Первомайская ИПС», ООО «Вторая пятилетка».</w:t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прогнозируемом периоде планирует</w:t>
      </w:r>
      <w:r>
        <w:rPr>
          <w:rFonts w:ascii="Times New Roman" w:hAnsi="Times New Roman" w:cs="Times New Roman"/>
          <w:sz w:val="28"/>
          <w:szCs w:val="28"/>
        </w:rPr>
        <w:t xml:space="preserve">ся сохранение тенденции роста положительного финансового результата: в 2024 г. 6059 млн. руб. или 108,3% к прошлому году, в 2025 г. 6687,0 млн. руб. или 110,4 % к прошлому году, в 2026 г. 7384,2 млн. руб. или 110,4 % к прошлому году за счет роста прибыли  </w:t>
      </w:r>
      <w:r>
        <w:rPr>
          <w:rFonts w:ascii="Times New Roman" w:hAnsi="Times New Roman" w:cs="Times New Roman"/>
          <w:sz w:val="28"/>
          <w:szCs w:val="28"/>
        </w:rPr>
        <w:t xml:space="preserve">сельскохозяйственных </w:t>
      </w:r>
      <w:r>
        <w:rPr>
          <w:rFonts w:ascii="Times New Roman" w:hAnsi="Times New Roman" w:cs="Times New Roman"/>
          <w:sz w:val="28"/>
          <w:szCs w:val="28"/>
        </w:rPr>
        <w:t xml:space="preserve">предприятий в 2024 г. на 11,3 %, в 2025 г. на 12,8 %, в 2026 г. на 10,6%,</w:t>
      </w:r>
      <w:r>
        <w:rPr>
          <w:rFonts w:ascii="Times New Roman CYR" w:hAnsi="Times New Roman CYR"/>
          <w:sz w:val="28"/>
          <w:szCs w:val="28"/>
        </w:rPr>
        <w:t xml:space="preserve"> обрабатывающие производства в 2024 г. на 5,6%, в 2025 г. на 7,8 %, в 2026 г. на 10,3 %, торговля оптовая и розничная; ремонт автотранспортных средств и мотоциклов в 2024 г. на 6,8 %, в 2025 г. на 13,9 %, </w:t>
      </w:r>
      <w:r>
        <w:rPr>
          <w:rFonts w:ascii="Times New Roman" w:hAnsi="Times New Roman" w:cs="Times New Roman"/>
          <w:sz w:val="28"/>
          <w:szCs w:val="28"/>
        </w:rPr>
        <w:t xml:space="preserve">в 2026 г. на 14,5 %, что связано с повышением финансовой устойчивости предприятий, как на основе роста эффективности производства, так и за счет роста цен на продукцию.</w:t>
      </w:r>
      <w:r>
        <w:rPr>
          <w:rFonts w:ascii="Times New Roman" w:hAnsi="Times New Roman" w:cs="Times New Roman"/>
          <w:bCs/>
          <w:sz w:val="28"/>
          <w:szCs w:val="28"/>
        </w:rPr>
        <w:t xml:space="preserve"> Существенных изменений не планируется.</w:t>
      </w:r>
      <w:r/>
    </w:p>
    <w:p>
      <w:pPr>
        <w:ind w:firstLine="709"/>
        <w:jc w:val="both"/>
      </w:pPr>
      <w:r>
        <w:rPr>
          <w:rFonts w:ascii="Times New Roman CYR" w:hAnsi="Times New Roman CYR"/>
          <w:sz w:val="28"/>
          <w:szCs w:val="28"/>
        </w:rPr>
        <w:t xml:space="preserve">По итогу 2023 года ожидается снижение показателя (по полному кругу) «Убытки» на 78,847 млн. руб. или на 30,5 % к уровню 2022 года за счет деятельности </w:t>
      </w:r>
      <w:r>
        <w:rPr>
          <w:rFonts w:ascii="Times New Roman CYR" w:hAnsi="Times New Roman CYR"/>
          <w:sz w:val="28"/>
          <w:szCs w:val="28"/>
        </w:rPr>
        <w:t xml:space="preserve">сельскохозяйственных</w:t>
      </w:r>
      <w:r>
        <w:rPr>
          <w:rFonts w:ascii="Times New Roman CYR" w:hAnsi="Times New Roman CYR"/>
          <w:sz w:val="28"/>
          <w:szCs w:val="28"/>
        </w:rPr>
        <w:t xml:space="preserve"> предприятий (по первому полугодию 2023 год получен убыток - 202,237 тыс. руб. в ООО «Первомайская ИПС» - 66,180 тыс. руб., ООО «Вторая Пятилетка» - 101,926 тыс. руб., АО "Трудовое" </w:t>
      </w:r>
      <w:r>
        <w:rPr>
          <w:rFonts w:ascii="Times New Roman CYR" w:hAnsi="Times New Roman CYR"/>
          <w:sz w:val="28"/>
          <w:szCs w:val="28"/>
        </w:rPr>
        <w:t xml:space="preserve">- 34, 131 тыс. руб., по итогам 2023 года планируется получить прибыль за счет реализации продукции), снижение убытков обрабатывающих производств: ожидается снижение убытков в ООО «Ренард», за счет роста объема производства и роста цен реализации продукции.</w:t>
      </w:r>
      <w:r/>
    </w:p>
    <w:p>
      <w:pPr>
        <w:ind w:firstLine="709"/>
        <w:jc w:val="both"/>
      </w:pPr>
      <w:r>
        <w:rPr>
          <w:rFonts w:ascii="Times New Roman CYR" w:hAnsi="Times New Roman CYR"/>
          <w:sz w:val="28"/>
          <w:szCs w:val="28"/>
        </w:rPr>
        <w:t xml:space="preserve">В ожидаемый и прогнозируемый периоды, согласно намерений предприятий, ожидается сокращение убытков (по полному кругу): в 2023 году – 179,4 млн. руб. или 69,5 % к прошлому году; в 2024</w:t>
      </w:r>
      <w:r>
        <w:rPr>
          <w:rFonts w:ascii="Times New Roman CYR" w:hAnsi="Times New Roman CYR"/>
          <w:sz w:val="28"/>
          <w:szCs w:val="28"/>
        </w:rPr>
        <w:t xml:space="preserve"> году – 149,3 млн. руб. или 83,2 % к прошлому году; в 2025 году – 125,9 млн. руб. или 84,3% к прошлому году; в 2026 году – 105,7 млн. руб. или 84,0% в основном, за счет финансовой устойчивости сельскохозяйственных предприятий, отсутствие убытков в прогнози</w:t>
      </w:r>
      <w:r>
        <w:rPr>
          <w:rFonts w:ascii="Times New Roman CYR" w:hAnsi="Times New Roman CYR"/>
          <w:sz w:val="28"/>
          <w:szCs w:val="28"/>
        </w:rPr>
        <w:t xml:space="preserve">руемом периоде, за счет роста эффективности производств предприятий в обрабатывающей сфере: убыток составит – 14 % в 2026 г. к 2022 г., в связи с ростом выручки предприятий, занятых в оптовой и розничной торговле: убыток составит – 69 % в 2026 г. к 2022 г.</w:t>
      </w:r>
      <w:r/>
    </w:p>
    <w:p>
      <w:pPr>
        <w:ind w:firstLine="709"/>
        <w:jc w:val="both"/>
        <w:rPr>
          <w:rFonts w:ascii="Times New Roman CYR" w:hAnsi="Times New Roman CYR"/>
          <w:b/>
          <w:bCs/>
          <w:color w:val="000000"/>
          <w:u w:val="single"/>
        </w:rPr>
      </w:pPr>
      <w:r>
        <w:rPr>
          <w:rFonts w:ascii="Times New Roman CYR" w:hAnsi="Times New Roman CYR"/>
          <w:b/>
          <w:bCs/>
          <w:color w:val="000000"/>
          <w:u w:val="single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rPr>
          <w:rFonts w:ascii="Times New Roman CYR" w:hAnsi="Times New Roman CYR"/>
          <w:b/>
          <w:bCs/>
          <w:sz w:val="28"/>
          <w:szCs w:val="28"/>
          <w:u w:val="single"/>
        </w:rPr>
      </w:pPr>
      <w:r>
        <w:rPr>
          <w:rFonts w:ascii="Times New Roman CYR" w:hAnsi="Times New Roman CYR"/>
          <w:b/>
          <w:sz w:val="28"/>
          <w:szCs w:val="28"/>
          <w:u w:val="single"/>
        </w:rPr>
        <w:t xml:space="preserve">Фонд оплаты труда</w:t>
      </w:r>
      <w:r/>
    </w:p>
    <w:p>
      <w:pPr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 2022 году фонд заработной платы по полному кругу предприятий и организаци</w:t>
      </w:r>
      <w:r>
        <w:rPr>
          <w:rFonts w:ascii="Times New Roman" w:hAnsi="Times New Roman" w:eastAsia="Calibri" w:cs="Times New Roman"/>
          <w:sz w:val="28"/>
          <w:szCs w:val="28"/>
        </w:rPr>
        <w:t xml:space="preserve">й составил по муниципальному образованию 5726,9 млн. руб., что на 13,2 % больше уровня 2021 года. Фонд заработной платы по полному кругу предприятий района в оценке 2023 года составляет 6492,4 млн. рублей, что на 13,4 % больше, чем в 2022 году. Увеличение </w:t>
      </w:r>
      <w:r>
        <w:rPr>
          <w:rFonts w:ascii="Times New Roman" w:hAnsi="Times New Roman" w:eastAsia="Calibri" w:cs="Times New Roman"/>
          <w:sz w:val="28"/>
          <w:szCs w:val="28"/>
        </w:rPr>
        <w:t xml:space="preserve">фонда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происходит за счет того, что предприятия Ленинградского района имеют тенденцию к повышению заработной платы сотрудников, а та</w:t>
      </w:r>
      <w:r>
        <w:rPr>
          <w:rFonts w:ascii="Times New Roman" w:hAnsi="Times New Roman" w:eastAsia="Calibri" w:cs="Times New Roman"/>
          <w:sz w:val="28"/>
          <w:szCs w:val="28"/>
        </w:rPr>
        <w:t xml:space="preserve">кже за счет увеличения доли социальных выплат по больничным листам, связанных с временной потерей нетрудоспособности, премиальных выплат, а также командировочных расходов или иных выплат, не связанных напрямую с выпуском продукции, выполнением работ и т.п.</w:t>
      </w:r>
      <w:r/>
    </w:p>
    <w:p>
      <w:pPr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 апреле 2022 г. на территории станицы Ленинградской начал</w:t>
      </w:r>
      <w:r>
        <w:rPr>
          <w:rFonts w:ascii="Times New Roman" w:hAnsi="Times New Roman" w:eastAsia="Calibri" w:cs="Times New Roman"/>
          <w:sz w:val="28"/>
          <w:szCs w:val="28"/>
        </w:rPr>
        <w:t xml:space="preserve">о</w:t>
      </w:r>
      <w:r>
        <w:rPr>
          <w:rFonts w:ascii="Times New Roman" w:hAnsi="Times New Roman" w:eastAsia="Calibri" w:cs="Times New Roman"/>
          <w:sz w:val="28"/>
          <w:szCs w:val="28"/>
        </w:rPr>
        <w:t xml:space="preserve"> свою работу </w:t>
      </w:r>
      <w:r>
        <w:rPr>
          <w:rFonts w:ascii="Times New Roman" w:hAnsi="Times New Roman" w:eastAsia="Calibri" w:cs="Times New Roman"/>
          <w:sz w:val="28"/>
          <w:szCs w:val="28"/>
        </w:rPr>
        <w:t xml:space="preserve">обособленное подразделение</w:t>
      </w:r>
      <w:r>
        <w:rPr>
          <w:rFonts w:ascii="Times New Roman" w:hAnsi="Times New Roman" w:eastAsia="Calibri" w:cs="Times New Roman"/>
          <w:sz w:val="28"/>
          <w:szCs w:val="28"/>
        </w:rPr>
        <w:t xml:space="preserve"> крупнейшего производственного комплекса легкой промышленности России – Балтийская текстильная компания. Максимальное количество рабочих мест 250 человек, это </w:t>
      </w:r>
      <w:r>
        <w:rPr>
          <w:rFonts w:ascii="Times New Roman" w:hAnsi="Times New Roman" w:eastAsia="Calibri" w:cs="Times New Roman"/>
          <w:sz w:val="28"/>
          <w:szCs w:val="28"/>
        </w:rPr>
        <w:t xml:space="preserve">также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положительно влияет на фонд заработной платы в Ленинградском районе.</w:t>
      </w:r>
      <w:r/>
    </w:p>
    <w:p>
      <w:pPr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 течение 2021 – 2026 годов наблюдается тенденция снижения удельного веса крупных и средних по полному кругу предприятий. (2021 г.-86,7 %; 2022 г</w:t>
      </w:r>
      <w:r>
        <w:rPr>
          <w:rFonts w:ascii="Times New Roman" w:hAnsi="Times New Roman" w:eastAsia="Calibri" w:cs="Times New Roman"/>
          <w:sz w:val="28"/>
          <w:szCs w:val="28"/>
        </w:rPr>
        <w:t xml:space="preserve">. – 86,2 %; 2023 г.- 84,4 %; 2024 г. -84,3 %; 2025 г. – 84,3 %; 2026 г. -  84,3 %). Снижение доли крупных и средних предприятий происходит за счет роста малых предприятий таких как: ООО «Адамаг», ООО «Сезон», ООО «Глория-Альянс», ООО «Система». В прогнозно</w:t>
      </w:r>
      <w:r>
        <w:rPr>
          <w:rFonts w:ascii="Times New Roman" w:hAnsi="Times New Roman" w:eastAsia="Calibri" w:cs="Times New Roman"/>
          <w:sz w:val="28"/>
          <w:szCs w:val="28"/>
        </w:rPr>
        <w:t xml:space="preserve">м периоде планируется реализация следующих инвестиционных проектов: «Закладка садов интенсивного типа» (инвестор ООО «Южное ААА»), ООО «Уманские масла» предприятием запланирована реализация инвестиционного проекта «Строительство маслоэкстракционного цеха».</w:t>
      </w:r>
      <w:r/>
    </w:p>
    <w:p>
      <w:pPr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 2024 году фонд заработной платы по полному кругу предприятий района достигнет 7024,7 млн. рублей, что на 8,2 % больше уровня 2023 года, и имеет тенденцию к увеличению (2025 г. -7614,7 млн. руб. 108,4 % к уровню 2024 года, 2026 г. – 8239,1 млн. руб.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108,2 % к уровню 2025 года), это происходит за счет индексации заработной платы сотрудников предприятий, а также за счет доплат за особые условия труда.</w:t>
      </w:r>
      <w:r/>
    </w:p>
    <w:p>
      <w:pPr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Численность работающих для расчета фонда оплаты труда по полному кругу предприятий (без занятых в лично</w:t>
      </w:r>
      <w:r>
        <w:rPr>
          <w:rFonts w:ascii="Times New Roman" w:hAnsi="Times New Roman" w:eastAsia="Calibri" w:cs="Times New Roman"/>
          <w:sz w:val="28"/>
          <w:szCs w:val="28"/>
        </w:rPr>
        <w:t xml:space="preserve">м подсобном хозяйстве, крестьянских, фермерских, занятых индивидуальной трудовой деятельностью) в 2022 году составила 11,451 тыс. человек, что на 1,2 % выше уровня 2021 года. В оценке 2023 года численность работающих по полному кругу предприятий составит 1</w:t>
      </w:r>
      <w:r>
        <w:rPr>
          <w:rFonts w:ascii="Times New Roman" w:hAnsi="Times New Roman" w:eastAsia="Calibri" w:cs="Times New Roman"/>
          <w:sz w:val="28"/>
          <w:szCs w:val="28"/>
        </w:rPr>
        <w:t xml:space="preserve">1,455 тыс. человек, что выше уровня предыдущего года на 1,4 %. Тенденцией повышения послужили разработанные программы по борьбе с безработицей. Будет логично предположить, что в ближайшем будущем ситуация на рынке труда станет значительно более устойчивой.</w:t>
      </w:r>
      <w:r/>
    </w:p>
    <w:p>
      <w:pPr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Численность работающих по крупным и средним предприятиям района в оценке 2023 года составит 9,145 тыс. человек, что в процентном соотношении является неизменным в сравнении с предыдущем годом, что показыва</w:t>
      </w:r>
      <w:r>
        <w:rPr>
          <w:rFonts w:ascii="Times New Roman" w:hAnsi="Times New Roman" w:eastAsia="Calibri" w:cs="Times New Roman"/>
          <w:sz w:val="28"/>
          <w:szCs w:val="28"/>
        </w:rPr>
        <w:t xml:space="preserve">ет стабильную ситуацию на рынке труда.</w:t>
      </w:r>
      <w:r/>
    </w:p>
    <w:p>
      <w:pPr>
        <w:ind w:firstLine="709"/>
        <w:jc w:val="both"/>
        <w:spacing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Увеличение численности работающих в 2023 – 2026 гг.  связано с тем, что реализуются и планируются к реализации, следующие инвестиционные проекты, по которым подписаны протоколы о намерениях по взаимодействию в сфере инвестиций:</w:t>
      </w:r>
      <w:r/>
    </w:p>
    <w:p>
      <w:pPr>
        <w:ind w:firstLine="709"/>
        <w:jc w:val="both"/>
        <w:spacing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 производство крышек «твист-офф» для стеклянных банок, инвестор ООО «Маранде», планируется создание 4 рабочих места;</w:t>
      </w:r>
      <w:r/>
    </w:p>
    <w:p>
      <w:pPr>
        <w:ind w:firstLine="709"/>
        <w:jc w:val="both"/>
        <w:spacing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 организация швейного производства на базе торговой марки «Gloria Jeans», инвестор ООО «Белун», планируется создание 120 новых рабочих мест.</w:t>
      </w:r>
      <w:r/>
    </w:p>
    <w:p>
      <w:pPr>
        <w:ind w:firstLine="709"/>
        <w:jc w:val="both"/>
        <w:spacing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 открытие пекарни и организация розничной продажи на остановочных комплексах, инвестор ООО «КДЕ-ФУД»</w:t>
      </w:r>
      <w: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планируется создание </w:t>
      </w:r>
      <w:r>
        <w:rPr>
          <w:rFonts w:ascii="Times New Roman" w:hAnsi="Times New Roman" w:eastAsia="Calibri" w:cs="Times New Roman"/>
          <w:sz w:val="28"/>
          <w:szCs w:val="28"/>
        </w:rPr>
        <w:t xml:space="preserve">27</w:t>
      </w:r>
      <w:r>
        <w:rPr>
          <w:rFonts w:ascii="Times New Roman" w:hAnsi="Times New Roman" w:eastAsia="Calibri" w:cs="Times New Roman"/>
          <w:sz w:val="28"/>
          <w:szCs w:val="28"/>
        </w:rPr>
        <w:t xml:space="preserve"> новых рабочих мест.</w:t>
      </w:r>
      <w:r/>
    </w:p>
    <w:p>
      <w:pPr>
        <w:ind w:firstLine="709"/>
        <w:jc w:val="both"/>
        <w:spacing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Среднемесячная заработная плата в оценке 2023 года по полному кругу предприятий достигнет 49936,2 рублей, что на 14 % больше, чем в 2022 году. В 2024 </w:t>
      </w:r>
      <w:r>
        <w:rPr>
          <w:rFonts w:ascii="Times New Roman" w:hAnsi="Times New Roman" w:eastAsia="Calibri" w:cs="Times New Roman"/>
          <w:sz w:val="28"/>
          <w:szCs w:val="28"/>
        </w:rPr>
        <w:t xml:space="preserve">году – на 7,5% и составит 53696,2 рублей, в 2025 году на 8, % и составит 58007,2 рублей, в 2026 году – на 7,2 % и составит 62203,7 рублей, рост происходит за счет проведения индексации по заработной плате, а также за счет повышения квалификации работников.</w:t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Исполняющий обязанности отдела экономики, 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прогнозирования и инвестиций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администрации муниципального образования       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Ленинградский района                                                                          О.Н. Серкова</w:t>
      </w:r>
      <w:bookmarkStart w:id="0" w:name="_GoBack"/>
      <w:r/>
      <w:bookmarkEnd w:id="0"/>
      <w:r/>
      <w:r/>
    </w:p>
    <w:sectPr>
      <w:footnotePr/>
      <w:endnotePr/>
      <w:type w:val="nextPage"/>
      <w:pgSz w:w="11906" w:h="16838" w:orient="portrait"/>
      <w:pgMar w:top="1134" w:right="624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Cyr">
    <w:panose1 w:val="020B0604020202020204"/>
  </w:font>
  <w:font w:name="Hauss">
    <w:panose1 w:val="02000603000000000000"/>
  </w:font>
  <w:font w:name="Calibri">
    <w:panose1 w:val="020F0502020204030204"/>
  </w:font>
  <w:font w:name="Times New Roman CYR">
    <w:panose1 w:val="020206030504050203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50">
    <w:name w:val="Plain Table 1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">
    <w:name w:val="Grid Table 5 Dark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7">
    <w:name w:val="Grid Table 7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6">
    <w:name w:val="List Table 7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641" w:default="1">
    <w:name w:val="Normal"/>
    <w:qFormat/>
  </w:style>
  <w:style w:type="paragraph" w:styleId="642">
    <w:name w:val="Heading 1"/>
    <w:basedOn w:val="641"/>
    <w:next w:val="641"/>
    <w:link w:val="67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43">
    <w:name w:val="Heading 2"/>
    <w:basedOn w:val="641"/>
    <w:next w:val="641"/>
    <w:link w:val="67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44">
    <w:name w:val="Heading 3"/>
    <w:basedOn w:val="641"/>
    <w:link w:val="838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645">
    <w:name w:val="Heading 4"/>
    <w:basedOn w:val="641"/>
    <w:next w:val="641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46">
    <w:name w:val="Heading 5"/>
    <w:basedOn w:val="641"/>
    <w:next w:val="641"/>
    <w:link w:val="67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47">
    <w:name w:val="Heading 6"/>
    <w:basedOn w:val="641"/>
    <w:next w:val="641"/>
    <w:link w:val="6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48">
    <w:name w:val="Heading 7"/>
    <w:basedOn w:val="641"/>
    <w:next w:val="641"/>
    <w:link w:val="67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49">
    <w:name w:val="Heading 8"/>
    <w:basedOn w:val="641"/>
    <w:next w:val="641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50">
    <w:name w:val="Heading 9"/>
    <w:basedOn w:val="641"/>
    <w:next w:val="641"/>
    <w:link w:val="67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 w:default="1">
    <w:name w:val="Default Paragraph Font"/>
    <w:uiPriority w:val="1"/>
    <w:semiHidden/>
    <w:unhideWhenUsed/>
  </w:style>
  <w:style w:type="table" w:styleId="65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3" w:default="1">
    <w:name w:val="No List"/>
    <w:uiPriority w:val="99"/>
    <w:semiHidden/>
    <w:unhideWhenUsed/>
  </w:style>
  <w:style w:type="character" w:styleId="654" w:customStyle="1">
    <w:name w:val="Heading 1 Char"/>
    <w:basedOn w:val="651"/>
    <w:uiPriority w:val="9"/>
    <w:rPr>
      <w:rFonts w:ascii="Arial" w:hAnsi="Arial" w:eastAsia="Arial" w:cs="Arial"/>
      <w:sz w:val="40"/>
      <w:szCs w:val="40"/>
    </w:rPr>
  </w:style>
  <w:style w:type="character" w:styleId="655" w:customStyle="1">
    <w:name w:val="Heading 2 Char"/>
    <w:basedOn w:val="651"/>
    <w:uiPriority w:val="9"/>
    <w:rPr>
      <w:rFonts w:ascii="Arial" w:hAnsi="Arial" w:eastAsia="Arial" w:cs="Arial"/>
      <w:sz w:val="34"/>
    </w:rPr>
  </w:style>
  <w:style w:type="character" w:styleId="656" w:customStyle="1">
    <w:name w:val="Heading 4 Char"/>
    <w:basedOn w:val="651"/>
    <w:uiPriority w:val="9"/>
    <w:rPr>
      <w:rFonts w:ascii="Arial" w:hAnsi="Arial" w:eastAsia="Arial" w:cs="Arial"/>
      <w:b/>
      <w:bCs/>
      <w:sz w:val="26"/>
      <w:szCs w:val="26"/>
    </w:rPr>
  </w:style>
  <w:style w:type="character" w:styleId="657" w:customStyle="1">
    <w:name w:val="Heading 5 Char"/>
    <w:basedOn w:val="651"/>
    <w:uiPriority w:val="9"/>
    <w:rPr>
      <w:rFonts w:ascii="Arial" w:hAnsi="Arial" w:eastAsia="Arial" w:cs="Arial"/>
      <w:b/>
      <w:bCs/>
      <w:sz w:val="24"/>
      <w:szCs w:val="24"/>
    </w:rPr>
  </w:style>
  <w:style w:type="character" w:styleId="658" w:customStyle="1">
    <w:name w:val="Heading 6 Char"/>
    <w:basedOn w:val="651"/>
    <w:uiPriority w:val="9"/>
    <w:rPr>
      <w:rFonts w:ascii="Arial" w:hAnsi="Arial" w:eastAsia="Arial" w:cs="Arial"/>
      <w:b/>
      <w:bCs/>
      <w:sz w:val="22"/>
      <w:szCs w:val="22"/>
    </w:rPr>
  </w:style>
  <w:style w:type="character" w:styleId="659" w:customStyle="1">
    <w:name w:val="Heading 7 Char"/>
    <w:basedOn w:val="65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0" w:customStyle="1">
    <w:name w:val="Heading 8 Char"/>
    <w:basedOn w:val="651"/>
    <w:uiPriority w:val="9"/>
    <w:rPr>
      <w:rFonts w:ascii="Arial" w:hAnsi="Arial" w:eastAsia="Arial" w:cs="Arial"/>
      <w:i/>
      <w:iCs/>
      <w:sz w:val="22"/>
      <w:szCs w:val="22"/>
    </w:rPr>
  </w:style>
  <w:style w:type="character" w:styleId="661" w:customStyle="1">
    <w:name w:val="Heading 9 Char"/>
    <w:basedOn w:val="651"/>
    <w:uiPriority w:val="9"/>
    <w:rPr>
      <w:rFonts w:ascii="Arial" w:hAnsi="Arial" w:eastAsia="Arial" w:cs="Arial"/>
      <w:i/>
      <w:iCs/>
      <w:sz w:val="21"/>
      <w:szCs w:val="21"/>
    </w:rPr>
  </w:style>
  <w:style w:type="character" w:styleId="662" w:customStyle="1">
    <w:name w:val="Title Char"/>
    <w:basedOn w:val="651"/>
    <w:uiPriority w:val="10"/>
    <w:rPr>
      <w:sz w:val="48"/>
      <w:szCs w:val="48"/>
    </w:rPr>
  </w:style>
  <w:style w:type="character" w:styleId="663" w:customStyle="1">
    <w:name w:val="Subtitle Char"/>
    <w:basedOn w:val="651"/>
    <w:uiPriority w:val="11"/>
    <w:rPr>
      <w:sz w:val="24"/>
      <w:szCs w:val="24"/>
    </w:rPr>
  </w:style>
  <w:style w:type="character" w:styleId="664" w:customStyle="1">
    <w:name w:val="Quote Char"/>
    <w:uiPriority w:val="29"/>
    <w:rPr>
      <w:i/>
    </w:rPr>
  </w:style>
  <w:style w:type="character" w:styleId="665" w:customStyle="1">
    <w:name w:val="Intense Quote Char"/>
    <w:uiPriority w:val="30"/>
    <w:rPr>
      <w:i/>
    </w:rPr>
  </w:style>
  <w:style w:type="character" w:styleId="666" w:customStyle="1">
    <w:name w:val="Header Char"/>
    <w:basedOn w:val="651"/>
    <w:uiPriority w:val="99"/>
  </w:style>
  <w:style w:type="character" w:styleId="667" w:customStyle="1">
    <w:name w:val="Caption Char"/>
    <w:uiPriority w:val="99"/>
  </w:style>
  <w:style w:type="character" w:styleId="668" w:customStyle="1">
    <w:name w:val="Footnote Text Char"/>
    <w:uiPriority w:val="99"/>
    <w:rPr>
      <w:sz w:val="18"/>
    </w:rPr>
  </w:style>
  <w:style w:type="character" w:styleId="669" w:customStyle="1">
    <w:name w:val="Endnote Text Char"/>
    <w:uiPriority w:val="99"/>
    <w:rPr>
      <w:sz w:val="20"/>
    </w:rPr>
  </w:style>
  <w:style w:type="character" w:styleId="670" w:customStyle="1">
    <w:name w:val="Заголовок 1 Знак"/>
    <w:basedOn w:val="651"/>
    <w:link w:val="642"/>
    <w:uiPriority w:val="9"/>
    <w:rPr>
      <w:rFonts w:ascii="Arial" w:hAnsi="Arial" w:eastAsia="Arial" w:cs="Arial"/>
      <w:sz w:val="40"/>
      <w:szCs w:val="40"/>
    </w:rPr>
  </w:style>
  <w:style w:type="character" w:styleId="671" w:customStyle="1">
    <w:name w:val="Заголовок 2 Знак"/>
    <w:basedOn w:val="651"/>
    <w:link w:val="643"/>
    <w:uiPriority w:val="9"/>
    <w:rPr>
      <w:rFonts w:ascii="Arial" w:hAnsi="Arial" w:eastAsia="Arial" w:cs="Arial"/>
      <w:sz w:val="34"/>
    </w:rPr>
  </w:style>
  <w:style w:type="character" w:styleId="672" w:customStyle="1">
    <w:name w:val="Heading 3 Char"/>
    <w:basedOn w:val="651"/>
    <w:link w:val="846"/>
    <w:uiPriority w:val="9"/>
    <w:rPr>
      <w:rFonts w:ascii="Arial" w:hAnsi="Arial" w:eastAsia="Arial" w:cs="Arial"/>
      <w:sz w:val="30"/>
      <w:szCs w:val="30"/>
    </w:rPr>
  </w:style>
  <w:style w:type="character" w:styleId="673" w:customStyle="1">
    <w:name w:val="Заголовок 4 Знак"/>
    <w:basedOn w:val="651"/>
    <w:link w:val="645"/>
    <w:uiPriority w:val="9"/>
    <w:rPr>
      <w:rFonts w:ascii="Arial" w:hAnsi="Arial" w:eastAsia="Arial" w:cs="Arial"/>
      <w:b/>
      <w:bCs/>
      <w:sz w:val="26"/>
      <w:szCs w:val="26"/>
    </w:rPr>
  </w:style>
  <w:style w:type="character" w:styleId="674" w:customStyle="1">
    <w:name w:val="Заголовок 5 Знак"/>
    <w:basedOn w:val="651"/>
    <w:link w:val="646"/>
    <w:uiPriority w:val="9"/>
    <w:rPr>
      <w:rFonts w:ascii="Arial" w:hAnsi="Arial" w:eastAsia="Arial" w:cs="Arial"/>
      <w:b/>
      <w:bCs/>
      <w:sz w:val="24"/>
      <w:szCs w:val="24"/>
    </w:rPr>
  </w:style>
  <w:style w:type="character" w:styleId="675" w:customStyle="1">
    <w:name w:val="Заголовок 6 Знак"/>
    <w:basedOn w:val="651"/>
    <w:link w:val="647"/>
    <w:uiPriority w:val="9"/>
    <w:rPr>
      <w:rFonts w:ascii="Arial" w:hAnsi="Arial" w:eastAsia="Arial" w:cs="Arial"/>
      <w:b/>
      <w:bCs/>
      <w:sz w:val="22"/>
      <w:szCs w:val="22"/>
    </w:rPr>
  </w:style>
  <w:style w:type="character" w:styleId="676" w:customStyle="1">
    <w:name w:val="Заголовок 7 Знак"/>
    <w:basedOn w:val="651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7" w:customStyle="1">
    <w:name w:val="Заголовок 8 Знак"/>
    <w:basedOn w:val="651"/>
    <w:link w:val="649"/>
    <w:uiPriority w:val="9"/>
    <w:rPr>
      <w:rFonts w:ascii="Arial" w:hAnsi="Arial" w:eastAsia="Arial" w:cs="Arial"/>
      <w:i/>
      <w:iCs/>
      <w:sz w:val="22"/>
      <w:szCs w:val="22"/>
    </w:rPr>
  </w:style>
  <w:style w:type="character" w:styleId="678" w:customStyle="1">
    <w:name w:val="Заголовок 9 Знак"/>
    <w:basedOn w:val="651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79">
    <w:name w:val="No Spacing"/>
    <w:link w:val="842"/>
    <w:qFormat/>
    <w:pPr>
      <w:spacing w:after="0" w:line="240" w:lineRule="auto"/>
    </w:pPr>
  </w:style>
  <w:style w:type="paragraph" w:styleId="680">
    <w:name w:val="Title"/>
    <w:basedOn w:val="641"/>
    <w:next w:val="641"/>
    <w:link w:val="68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1" w:customStyle="1">
    <w:name w:val="Заголовок Знак"/>
    <w:basedOn w:val="651"/>
    <w:link w:val="680"/>
    <w:uiPriority w:val="10"/>
    <w:rPr>
      <w:sz w:val="48"/>
      <w:szCs w:val="48"/>
    </w:rPr>
  </w:style>
  <w:style w:type="paragraph" w:styleId="682">
    <w:name w:val="Subtitle"/>
    <w:basedOn w:val="641"/>
    <w:next w:val="641"/>
    <w:link w:val="683"/>
    <w:uiPriority w:val="11"/>
    <w:qFormat/>
    <w:pPr>
      <w:spacing w:before="200" w:after="200"/>
    </w:pPr>
    <w:rPr>
      <w:sz w:val="24"/>
      <w:szCs w:val="24"/>
    </w:rPr>
  </w:style>
  <w:style w:type="character" w:styleId="683" w:customStyle="1">
    <w:name w:val="Подзаголовок Знак"/>
    <w:basedOn w:val="651"/>
    <w:link w:val="682"/>
    <w:uiPriority w:val="11"/>
    <w:rPr>
      <w:sz w:val="24"/>
      <w:szCs w:val="24"/>
    </w:rPr>
  </w:style>
  <w:style w:type="paragraph" w:styleId="684">
    <w:name w:val="Quote"/>
    <w:basedOn w:val="641"/>
    <w:next w:val="641"/>
    <w:link w:val="685"/>
    <w:uiPriority w:val="29"/>
    <w:qFormat/>
    <w:pPr>
      <w:ind w:left="720" w:right="720"/>
    </w:pPr>
    <w:rPr>
      <w:i/>
    </w:rPr>
  </w:style>
  <w:style w:type="character" w:styleId="685" w:customStyle="1">
    <w:name w:val="Цитата 2 Знак"/>
    <w:link w:val="684"/>
    <w:uiPriority w:val="29"/>
    <w:rPr>
      <w:i/>
    </w:rPr>
  </w:style>
  <w:style w:type="paragraph" w:styleId="686">
    <w:name w:val="Intense Quote"/>
    <w:basedOn w:val="641"/>
    <w:next w:val="641"/>
    <w:link w:val="68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7" w:customStyle="1">
    <w:name w:val="Выделенная цитата Знак"/>
    <w:link w:val="686"/>
    <w:uiPriority w:val="30"/>
    <w:rPr>
      <w:i/>
    </w:rPr>
  </w:style>
  <w:style w:type="paragraph" w:styleId="688">
    <w:name w:val="Header"/>
    <w:basedOn w:val="641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 w:customStyle="1">
    <w:name w:val="Верхний колонтитул Знак"/>
    <w:basedOn w:val="651"/>
    <w:link w:val="688"/>
    <w:uiPriority w:val="99"/>
  </w:style>
  <w:style w:type="paragraph" w:styleId="690">
    <w:name w:val="Footer"/>
    <w:basedOn w:val="641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1" w:customStyle="1">
    <w:name w:val="Footer Char"/>
    <w:basedOn w:val="651"/>
    <w:uiPriority w:val="99"/>
  </w:style>
  <w:style w:type="paragraph" w:styleId="692">
    <w:name w:val="Caption"/>
    <w:basedOn w:val="641"/>
    <w:next w:val="641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693" w:customStyle="1">
    <w:name w:val="Нижний колонтитул Знак"/>
    <w:link w:val="690"/>
    <w:uiPriority w:val="99"/>
  </w:style>
  <w:style w:type="table" w:styleId="694">
    <w:name w:val="Table Grid"/>
    <w:basedOn w:val="65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5" w:customStyle="1">
    <w:name w:val="Table Grid Light"/>
    <w:basedOn w:val="65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96" w:customStyle="1">
    <w:name w:val="Таблица простая 11"/>
    <w:basedOn w:val="65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 w:customStyle="1">
    <w:name w:val="Таблица простая 21"/>
    <w:basedOn w:val="65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 w:customStyle="1">
    <w:name w:val="Таблица простая 31"/>
    <w:basedOn w:val="65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9" w:customStyle="1">
    <w:name w:val="Таблица простая 41"/>
    <w:basedOn w:val="65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Таблица простая 51"/>
    <w:basedOn w:val="65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1" w:customStyle="1">
    <w:name w:val="Таблица-сетка 1 светлая1"/>
    <w:basedOn w:val="6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1"/>
    <w:basedOn w:val="6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Grid Table 1 Light - Accent 2"/>
    <w:basedOn w:val="6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Grid Table 1 Light - Accent 3"/>
    <w:basedOn w:val="6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 w:customStyle="1">
    <w:name w:val="Grid Table 1 Light - Accent 4"/>
    <w:basedOn w:val="6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 w:customStyle="1">
    <w:name w:val="Grid Table 1 Light - Accent 5"/>
    <w:basedOn w:val="6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 w:customStyle="1">
    <w:name w:val="Grid Table 1 Light - Accent 6"/>
    <w:basedOn w:val="6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 w:customStyle="1">
    <w:name w:val="Таблица-сетка 21"/>
    <w:basedOn w:val="65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2 - Accent 1"/>
    <w:basedOn w:val="65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2 - Accent 2"/>
    <w:basedOn w:val="65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2 - Accent 3"/>
    <w:basedOn w:val="65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2 - Accent 4"/>
    <w:basedOn w:val="65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2 - Accent 5"/>
    <w:basedOn w:val="65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2 - Accent 6"/>
    <w:basedOn w:val="65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Таблица-сетка 31"/>
    <w:basedOn w:val="65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3 - Accent 1"/>
    <w:basedOn w:val="65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3 - Accent 2"/>
    <w:basedOn w:val="65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3 - Accent 3"/>
    <w:basedOn w:val="65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3 - Accent 4"/>
    <w:basedOn w:val="65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3 - Accent 5"/>
    <w:basedOn w:val="65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3 - Accent 6"/>
    <w:basedOn w:val="65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Таблица-сетка 41"/>
    <w:basedOn w:val="65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3" w:customStyle="1">
    <w:name w:val="Grid Table 4 - Accent 1"/>
    <w:basedOn w:val="65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24" w:customStyle="1">
    <w:name w:val="Grid Table 4 - Accent 2"/>
    <w:basedOn w:val="65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25" w:customStyle="1">
    <w:name w:val="Grid Table 4 - Accent 3"/>
    <w:basedOn w:val="65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26" w:customStyle="1">
    <w:name w:val="Grid Table 4 - Accent 4"/>
    <w:basedOn w:val="65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27" w:customStyle="1">
    <w:name w:val="Grid Table 4 - Accent 5"/>
    <w:basedOn w:val="65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28" w:customStyle="1">
    <w:name w:val="Grid Table 4 - Accent 6"/>
    <w:basedOn w:val="65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29" w:customStyle="1">
    <w:name w:val="Таблица-сетка 5 темная1"/>
    <w:basedOn w:val="6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0" w:customStyle="1">
    <w:name w:val="Grid Table 5 Dark- Accent 1"/>
    <w:basedOn w:val="6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31" w:customStyle="1">
    <w:name w:val="Grid Table 5 Dark - Accent 2"/>
    <w:basedOn w:val="6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32" w:customStyle="1">
    <w:name w:val="Grid Table 5 Dark - Accent 3"/>
    <w:basedOn w:val="6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33" w:customStyle="1">
    <w:name w:val="Grid Table 5 Dark- Accent 4"/>
    <w:basedOn w:val="6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34" w:customStyle="1">
    <w:name w:val="Grid Table 5 Dark - Accent 5"/>
    <w:basedOn w:val="6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35" w:customStyle="1">
    <w:name w:val="Grid Table 5 Dark - Accent 6"/>
    <w:basedOn w:val="6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36" w:customStyle="1">
    <w:name w:val="Таблица-сетка 6 цветная1"/>
    <w:basedOn w:val="6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7" w:customStyle="1">
    <w:name w:val="Grid Table 6 Colorful - Accent 1"/>
    <w:basedOn w:val="6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38" w:customStyle="1">
    <w:name w:val="Grid Table 6 Colorful - Accent 2"/>
    <w:basedOn w:val="6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39" w:customStyle="1">
    <w:name w:val="Grid Table 6 Colorful - Accent 3"/>
    <w:basedOn w:val="6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40" w:customStyle="1">
    <w:name w:val="Grid Table 6 Colorful - Accent 4"/>
    <w:basedOn w:val="6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41" w:customStyle="1">
    <w:name w:val="Grid Table 6 Colorful - Accent 5"/>
    <w:basedOn w:val="6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42" w:customStyle="1">
    <w:name w:val="Grid Table 6 Colorful - Accent 6"/>
    <w:basedOn w:val="6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43" w:customStyle="1">
    <w:name w:val="Таблица-сетка 7 цветная1"/>
    <w:basedOn w:val="65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7 Colorful - Accent 1"/>
    <w:basedOn w:val="65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7 Colorful - Accent 2"/>
    <w:basedOn w:val="65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7 Colorful - Accent 3"/>
    <w:basedOn w:val="65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7 Colorful - Accent 4"/>
    <w:basedOn w:val="65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7 Colorful - Accent 5"/>
    <w:basedOn w:val="65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7 Colorful - Accent 6"/>
    <w:basedOn w:val="65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Список-таблица 1 светлая1"/>
    <w:basedOn w:val="65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1 Light - Accent 1"/>
    <w:basedOn w:val="65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1 Light - Accent 2"/>
    <w:basedOn w:val="65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List Table 1 Light - Accent 3"/>
    <w:basedOn w:val="65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List Table 1 Light - Accent 4"/>
    <w:basedOn w:val="65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List Table 1 Light - Accent 5"/>
    <w:basedOn w:val="65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List Table 1 Light - Accent 6"/>
    <w:basedOn w:val="65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Список-таблица 21"/>
    <w:basedOn w:val="6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8" w:customStyle="1">
    <w:name w:val="List Table 2 - Accent 1"/>
    <w:basedOn w:val="6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59" w:customStyle="1">
    <w:name w:val="List Table 2 - Accent 2"/>
    <w:basedOn w:val="6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60" w:customStyle="1">
    <w:name w:val="List Table 2 - Accent 3"/>
    <w:basedOn w:val="6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61" w:customStyle="1">
    <w:name w:val="List Table 2 - Accent 4"/>
    <w:basedOn w:val="6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62" w:customStyle="1">
    <w:name w:val="List Table 2 - Accent 5"/>
    <w:basedOn w:val="6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63" w:customStyle="1">
    <w:name w:val="List Table 2 - Accent 6"/>
    <w:basedOn w:val="6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64" w:customStyle="1">
    <w:name w:val="Список-таблица 31"/>
    <w:basedOn w:val="6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1"/>
    <w:basedOn w:val="6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3 - Accent 2"/>
    <w:basedOn w:val="6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3 - Accent 3"/>
    <w:basedOn w:val="6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3 - Accent 4"/>
    <w:basedOn w:val="6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3 - Accent 5"/>
    <w:basedOn w:val="6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3 - Accent 6"/>
    <w:basedOn w:val="6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Список-таблица 41"/>
    <w:basedOn w:val="6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1"/>
    <w:basedOn w:val="6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 - Accent 2"/>
    <w:basedOn w:val="6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4 - Accent 3"/>
    <w:basedOn w:val="6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4 - Accent 4"/>
    <w:basedOn w:val="6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4 - Accent 5"/>
    <w:basedOn w:val="6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4 - Accent 6"/>
    <w:basedOn w:val="6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Список-таблица 5 темная1"/>
    <w:basedOn w:val="6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5 Dark - Accent 1"/>
    <w:basedOn w:val="6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 w:customStyle="1">
    <w:name w:val="List Table 5 Dark - Accent 2"/>
    <w:basedOn w:val="6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 w:customStyle="1">
    <w:name w:val="List Table 5 Dark - Accent 3"/>
    <w:basedOn w:val="6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2" w:customStyle="1">
    <w:name w:val="List Table 5 Dark - Accent 4"/>
    <w:basedOn w:val="6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3" w:customStyle="1">
    <w:name w:val="List Table 5 Dark - Accent 5"/>
    <w:basedOn w:val="6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4" w:customStyle="1">
    <w:name w:val="List Table 5 Dark - Accent 6"/>
    <w:basedOn w:val="6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5" w:customStyle="1">
    <w:name w:val="Список-таблица 6 цветная1"/>
    <w:basedOn w:val="6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6" w:customStyle="1">
    <w:name w:val="List Table 6 Colorful - Accent 1"/>
    <w:basedOn w:val="6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87" w:customStyle="1">
    <w:name w:val="List Table 6 Colorful - Accent 2"/>
    <w:basedOn w:val="6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88" w:customStyle="1">
    <w:name w:val="List Table 6 Colorful - Accent 3"/>
    <w:basedOn w:val="6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89" w:customStyle="1">
    <w:name w:val="List Table 6 Colorful - Accent 4"/>
    <w:basedOn w:val="6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90" w:customStyle="1">
    <w:name w:val="List Table 6 Colorful - Accent 5"/>
    <w:basedOn w:val="6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791" w:customStyle="1">
    <w:name w:val="List Table 6 Colorful - Accent 6"/>
    <w:basedOn w:val="6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92" w:customStyle="1">
    <w:name w:val="Список-таблица 7 цветная1"/>
    <w:basedOn w:val="65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7 Colorful - Accent 1"/>
    <w:basedOn w:val="65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7 Colorful - Accent 2"/>
    <w:basedOn w:val="65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7 Colorful - Accent 3"/>
    <w:basedOn w:val="65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7 Colorful - Accent 4"/>
    <w:basedOn w:val="65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7 Colorful - Accent 5"/>
    <w:basedOn w:val="65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7 Colorful - Accent 6"/>
    <w:basedOn w:val="65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ned - Accent"/>
    <w:basedOn w:val="65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0" w:customStyle="1">
    <w:name w:val="Lined - Accent 1"/>
    <w:basedOn w:val="65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01" w:customStyle="1">
    <w:name w:val="Lined - Accent 2"/>
    <w:basedOn w:val="65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02" w:customStyle="1">
    <w:name w:val="Lined - Accent 3"/>
    <w:basedOn w:val="65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03" w:customStyle="1">
    <w:name w:val="Lined - Accent 4"/>
    <w:basedOn w:val="65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04" w:customStyle="1">
    <w:name w:val="Lined - Accent 5"/>
    <w:basedOn w:val="65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05" w:customStyle="1">
    <w:name w:val="Lined - Accent 6"/>
    <w:basedOn w:val="65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06" w:customStyle="1">
    <w:name w:val="Bordered &amp; Lined - Accent"/>
    <w:basedOn w:val="65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7" w:customStyle="1">
    <w:name w:val="Bordered &amp; Lined - Accent 1"/>
    <w:basedOn w:val="65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08" w:customStyle="1">
    <w:name w:val="Bordered &amp; Lined - Accent 2"/>
    <w:basedOn w:val="65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09" w:customStyle="1">
    <w:name w:val="Bordered &amp; Lined - Accent 3"/>
    <w:basedOn w:val="65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0" w:customStyle="1">
    <w:name w:val="Bordered &amp; Lined - Accent 4"/>
    <w:basedOn w:val="65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1" w:customStyle="1">
    <w:name w:val="Bordered &amp; Lined - Accent 5"/>
    <w:basedOn w:val="65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12" w:customStyle="1">
    <w:name w:val="Bordered &amp; Lined - Accent 6"/>
    <w:basedOn w:val="65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3" w:customStyle="1">
    <w:name w:val="Bordered"/>
    <w:basedOn w:val="6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4" w:customStyle="1">
    <w:name w:val="Bordered - Accent 1"/>
    <w:basedOn w:val="6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15" w:customStyle="1">
    <w:name w:val="Bordered - Accent 2"/>
    <w:basedOn w:val="6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16" w:customStyle="1">
    <w:name w:val="Bordered - Accent 3"/>
    <w:basedOn w:val="6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17" w:customStyle="1">
    <w:name w:val="Bordered - Accent 4"/>
    <w:basedOn w:val="6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18" w:customStyle="1">
    <w:name w:val="Bordered - Accent 5"/>
    <w:basedOn w:val="6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19" w:customStyle="1">
    <w:name w:val="Bordered - Accent 6"/>
    <w:basedOn w:val="6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20">
    <w:name w:val="Hyperlink"/>
    <w:uiPriority w:val="99"/>
    <w:unhideWhenUsed/>
    <w:rPr>
      <w:color w:val="0563c1" w:themeColor="hyperlink"/>
      <w:u w:val="single"/>
    </w:rPr>
  </w:style>
  <w:style w:type="paragraph" w:styleId="821">
    <w:name w:val="footnote text"/>
    <w:basedOn w:val="641"/>
    <w:link w:val="822"/>
    <w:uiPriority w:val="99"/>
    <w:semiHidden/>
    <w:unhideWhenUsed/>
    <w:pPr>
      <w:spacing w:after="40" w:line="240" w:lineRule="auto"/>
    </w:pPr>
    <w:rPr>
      <w:sz w:val="18"/>
    </w:rPr>
  </w:style>
  <w:style w:type="character" w:styleId="822" w:customStyle="1">
    <w:name w:val="Текст сноски Знак"/>
    <w:link w:val="821"/>
    <w:uiPriority w:val="99"/>
    <w:rPr>
      <w:sz w:val="18"/>
    </w:rPr>
  </w:style>
  <w:style w:type="character" w:styleId="823">
    <w:name w:val="footnote reference"/>
    <w:basedOn w:val="651"/>
    <w:uiPriority w:val="99"/>
    <w:unhideWhenUsed/>
    <w:rPr>
      <w:vertAlign w:val="superscript"/>
    </w:rPr>
  </w:style>
  <w:style w:type="paragraph" w:styleId="824">
    <w:name w:val="endnote text"/>
    <w:basedOn w:val="641"/>
    <w:link w:val="825"/>
    <w:uiPriority w:val="99"/>
    <w:semiHidden/>
    <w:unhideWhenUsed/>
    <w:pPr>
      <w:spacing w:after="0" w:line="240" w:lineRule="auto"/>
    </w:pPr>
    <w:rPr>
      <w:sz w:val="20"/>
    </w:rPr>
  </w:style>
  <w:style w:type="character" w:styleId="825" w:customStyle="1">
    <w:name w:val="Текст концевой сноски Знак"/>
    <w:link w:val="824"/>
    <w:uiPriority w:val="99"/>
    <w:rPr>
      <w:sz w:val="20"/>
    </w:rPr>
  </w:style>
  <w:style w:type="character" w:styleId="826">
    <w:name w:val="endnote reference"/>
    <w:basedOn w:val="651"/>
    <w:uiPriority w:val="99"/>
    <w:semiHidden/>
    <w:unhideWhenUsed/>
    <w:rPr>
      <w:vertAlign w:val="superscript"/>
    </w:rPr>
  </w:style>
  <w:style w:type="paragraph" w:styleId="827">
    <w:name w:val="toc 1"/>
    <w:basedOn w:val="641"/>
    <w:next w:val="641"/>
    <w:uiPriority w:val="39"/>
    <w:unhideWhenUsed/>
    <w:pPr>
      <w:spacing w:after="57"/>
    </w:pPr>
  </w:style>
  <w:style w:type="paragraph" w:styleId="828">
    <w:name w:val="toc 2"/>
    <w:basedOn w:val="641"/>
    <w:next w:val="641"/>
    <w:uiPriority w:val="39"/>
    <w:unhideWhenUsed/>
    <w:pPr>
      <w:ind w:left="283"/>
      <w:spacing w:after="57"/>
    </w:pPr>
  </w:style>
  <w:style w:type="paragraph" w:styleId="829">
    <w:name w:val="toc 3"/>
    <w:basedOn w:val="641"/>
    <w:next w:val="641"/>
    <w:uiPriority w:val="39"/>
    <w:unhideWhenUsed/>
    <w:pPr>
      <w:ind w:left="567"/>
      <w:spacing w:after="57"/>
    </w:pPr>
  </w:style>
  <w:style w:type="paragraph" w:styleId="830">
    <w:name w:val="toc 4"/>
    <w:basedOn w:val="641"/>
    <w:next w:val="641"/>
    <w:uiPriority w:val="39"/>
    <w:unhideWhenUsed/>
    <w:pPr>
      <w:ind w:left="850"/>
      <w:spacing w:after="57"/>
    </w:pPr>
  </w:style>
  <w:style w:type="paragraph" w:styleId="831">
    <w:name w:val="toc 5"/>
    <w:basedOn w:val="641"/>
    <w:next w:val="641"/>
    <w:uiPriority w:val="39"/>
    <w:unhideWhenUsed/>
    <w:pPr>
      <w:ind w:left="1134"/>
      <w:spacing w:after="57"/>
    </w:pPr>
  </w:style>
  <w:style w:type="paragraph" w:styleId="832">
    <w:name w:val="toc 6"/>
    <w:basedOn w:val="641"/>
    <w:next w:val="641"/>
    <w:uiPriority w:val="39"/>
    <w:unhideWhenUsed/>
    <w:pPr>
      <w:ind w:left="1417"/>
      <w:spacing w:after="57"/>
    </w:pPr>
  </w:style>
  <w:style w:type="paragraph" w:styleId="833">
    <w:name w:val="toc 7"/>
    <w:basedOn w:val="641"/>
    <w:next w:val="641"/>
    <w:uiPriority w:val="39"/>
    <w:unhideWhenUsed/>
    <w:pPr>
      <w:ind w:left="1701"/>
      <w:spacing w:after="57"/>
    </w:pPr>
  </w:style>
  <w:style w:type="paragraph" w:styleId="834">
    <w:name w:val="toc 8"/>
    <w:basedOn w:val="641"/>
    <w:next w:val="641"/>
    <w:uiPriority w:val="39"/>
    <w:unhideWhenUsed/>
    <w:pPr>
      <w:ind w:left="1984"/>
      <w:spacing w:after="57"/>
    </w:pPr>
  </w:style>
  <w:style w:type="paragraph" w:styleId="835">
    <w:name w:val="toc 9"/>
    <w:basedOn w:val="641"/>
    <w:next w:val="641"/>
    <w:uiPriority w:val="39"/>
    <w:unhideWhenUsed/>
    <w:pPr>
      <w:ind w:left="2268"/>
      <w:spacing w:after="57"/>
    </w:pPr>
  </w:style>
  <w:style w:type="paragraph" w:styleId="836">
    <w:name w:val="TOC Heading"/>
    <w:uiPriority w:val="39"/>
    <w:unhideWhenUsed/>
  </w:style>
  <w:style w:type="paragraph" w:styleId="837">
    <w:name w:val="table of figures"/>
    <w:basedOn w:val="641"/>
    <w:next w:val="641"/>
    <w:uiPriority w:val="99"/>
    <w:unhideWhenUsed/>
    <w:pPr>
      <w:spacing w:after="0"/>
    </w:pPr>
  </w:style>
  <w:style w:type="character" w:styleId="838" w:customStyle="1">
    <w:name w:val="Заголовок 3 Знак"/>
    <w:basedOn w:val="651"/>
    <w:link w:val="644"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839">
    <w:name w:val="Strong"/>
    <w:basedOn w:val="651"/>
    <w:uiPriority w:val="22"/>
    <w:qFormat/>
    <w:rPr>
      <w:b/>
      <w:bCs/>
    </w:rPr>
  </w:style>
  <w:style w:type="paragraph" w:styleId="840">
    <w:name w:val="Normal (Web)"/>
    <w:basedOn w:val="641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1">
    <w:name w:val="List Paragraph"/>
    <w:basedOn w:val="641"/>
    <w:uiPriority w:val="34"/>
    <w:qFormat/>
    <w:pPr>
      <w:contextualSpacing/>
      <w:ind w:left="72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2" w:customStyle="1">
    <w:name w:val="Без интервала Знак"/>
    <w:basedOn w:val="651"/>
    <w:link w:val="679"/>
  </w:style>
  <w:style w:type="paragraph" w:styleId="843" w:customStyle="1">
    <w:name w:val="Обычный1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44" w:customStyle="1">
    <w:name w:val="Основной текст 21"/>
    <w:basedOn w:val="641"/>
    <w:pPr>
      <w:jc w:val="both"/>
      <w:spacing w:after="0" w:line="240" w:lineRule="auto"/>
    </w:pPr>
    <w:rPr>
      <w:rFonts w:ascii="Times New Roman" w:hAnsi="Times New Roman" w:eastAsia="Times New Roman" w:cs="Times New Roman"/>
      <w:sz w:val="32"/>
      <w:szCs w:val="20"/>
      <w:lang w:eastAsia="ru-RU"/>
    </w:rPr>
  </w:style>
  <w:style w:type="paragraph" w:styleId="845" w:customStyle="1">
    <w:name w:val="Обычный6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46" w:customStyle="1">
    <w:name w:val="FR1"/>
    <w:next w:val="682"/>
    <w:link w:val="672"/>
    <w:pPr>
      <w:jc w:val="center"/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Times New Roman" w:cs="Times New Roman"/>
      <w:b/>
      <w:sz w:val="56"/>
      <w:szCs w:val="20"/>
      <w:lang w:eastAsia="ru-RU"/>
    </w:rPr>
  </w:style>
  <w:style w:type="paragraph" w:styleId="847">
    <w:name w:val="Balloon Text"/>
    <w:basedOn w:val="641"/>
    <w:link w:val="84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8" w:customStyle="1">
    <w:name w:val="Текст выноски Знак"/>
    <w:basedOn w:val="651"/>
    <w:link w:val="847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garantf1://36896324.0" TargetMode="External"/><Relationship Id="rId11" Type="http://schemas.openxmlformats.org/officeDocument/2006/relationships/hyperlink" Target="garantf1://36896324.0" TargetMode="External"/><Relationship Id="rId12" Type="http://schemas.openxmlformats.org/officeDocument/2006/relationships/hyperlink" Target="https://ru.wikipedia.org/wiki/%D0%9F%D0%B5%D0%BD%D1%81%D0%B8%D0%BE%D0%BD%D0%BD%D1%8B%D0%B9_%D0%B2%D0%BE%D0%B7%D1%80%D0%B0%D1%81%D1%82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65E42-1047-45DB-8A7E-95C635AAC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revision>15</cp:revision>
  <dcterms:created xsi:type="dcterms:W3CDTF">2023-09-21T10:44:00Z</dcterms:created>
  <dcterms:modified xsi:type="dcterms:W3CDTF">2023-10-24T08:07:01Z</dcterms:modified>
</cp:coreProperties>
</file>