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9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Заведующему сектором</w:t>
      </w:r>
      <w:r>
        <w:rPr>
          <w:sz w:val="28"/>
          <w:szCs w:val="28"/>
        </w:rPr>
      </w:r>
    </w:p>
    <w:p>
      <w:pPr>
        <w:ind w:left="5529" w:right="94"/>
        <w:rPr>
          <w:sz w:val="28"/>
          <w:szCs w:val="28"/>
        </w:rPr>
      </w:pPr>
      <w:r>
        <w:rPr>
          <w:sz w:val="28"/>
          <w:szCs w:val="28"/>
        </w:rPr>
        <w:t xml:space="preserve">потребительской сферы</w:t>
      </w:r>
      <w:r>
        <w:rPr>
          <w:sz w:val="28"/>
          <w:szCs w:val="28"/>
        </w:rPr>
        <w:t xml:space="preserve"> отдела экономики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</w:r>
    </w:p>
    <w:p>
      <w:pPr>
        <w:ind w:left="5529" w:right="94"/>
        <w:rPr>
          <w:sz w:val="28"/>
          <w:szCs w:val="28"/>
        </w:rPr>
      </w:pPr>
      <w:r>
        <w:rPr>
          <w:sz w:val="28"/>
          <w:szCs w:val="28"/>
        </w:rPr>
        <w:t xml:space="preserve">Ленинградского</w:t>
      </w:r>
      <w:r>
        <w:rPr>
          <w:sz w:val="28"/>
          <w:szCs w:val="28"/>
        </w:rPr>
      </w:r>
    </w:p>
    <w:p>
      <w:pPr>
        <w:ind w:left="5529" w:right="9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</w:r>
    </w:p>
    <w:p>
      <w:pPr>
        <w:ind w:left="5529" w:right="9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 w:right="94"/>
        <w:rPr>
          <w:sz w:val="28"/>
          <w:szCs w:val="28"/>
        </w:rPr>
      </w:pPr>
      <w:r>
        <w:rPr>
          <w:sz w:val="28"/>
          <w:szCs w:val="28"/>
        </w:rPr>
        <w:t xml:space="preserve">Романько Е.Д.</w:t>
      </w:r>
      <w:r>
        <w:rPr>
          <w:sz w:val="28"/>
          <w:szCs w:val="28"/>
        </w:rPr>
      </w:r>
    </w:p>
    <w:p>
      <w:pPr>
        <w:ind w:right="9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right="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29 апреля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постановления администрации муниципального образования Ленинградский муниципальный округ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«</w:t>
      </w:r>
      <w:r>
        <w:rPr>
          <w:sz w:val="28"/>
          <w:szCs w:val="28"/>
        </w:rPr>
        <w:t xml:space="preserve">Об утверждении Положения о порядке организации и проведения торгов (в форме электронного </w:t>
      </w:r>
      <w:r>
        <w:rPr>
          <w:sz w:val="28"/>
          <w:szCs w:val="28"/>
        </w:rPr>
        <w:t xml:space="preserve">аукциона)  на</w:t>
      </w:r>
      <w:r>
        <w:rPr>
          <w:sz w:val="28"/>
          <w:szCs w:val="28"/>
        </w:rPr>
        <w:t xml:space="preserve"> право заключения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договора  на</w:t>
      </w:r>
      <w:r>
        <w:rPr>
          <w:sz w:val="28"/>
          <w:szCs w:val="28"/>
        </w:rPr>
        <w:t xml:space="preserve"> размещение нестационарных торговых объектов на территории Ленинградского  муниципального округа в зданиях, строениях, сооружениях и на  земельных участках,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находящихся в муниципальной собственности либо государственная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 собственность на которые не разграничена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Отдел экономики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, как уполномоченный орган по проведению оценки регулирующего воздействия проектов муниципальных нормативных правовых актов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>
        <w:rPr>
          <w:sz w:val="28"/>
          <w:szCs w:val="28"/>
        </w:rPr>
        <w:t xml:space="preserve">(далее – Уполномоченный орган), рассмотрел поступивший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апреля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 xml:space="preserve">муниципального образования Ленинградский муниципальный округ Краснодарского края «</w:t>
      </w:r>
      <w:r>
        <w:rPr>
          <w:sz w:val="28"/>
          <w:szCs w:val="28"/>
        </w:rPr>
        <w:t xml:space="preserve">Об утверждении Положения о порядке организации и проведения торгов (в форме электронного аукциона)  на право заключения договора  на размещение нестационарных торговых объектов</w:t>
      </w:r>
      <w:r>
        <w:rPr>
          <w:sz w:val="28"/>
          <w:szCs w:val="28"/>
        </w:rPr>
        <w:t xml:space="preserve"> на территории Ленинградского  муниципального округа в зданиях, строениях, сооружениях и на  земельных участках, находящихся в муниципальной собственности либо государственная собственность на которые не разграничена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направленный от</w:t>
      </w:r>
      <w:r>
        <w:rPr>
          <w:sz w:val="28"/>
          <w:szCs w:val="28"/>
        </w:rPr>
        <w:t xml:space="preserve">делом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экономики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Ленинградского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круга </w:t>
      </w:r>
      <w:r>
        <w:rPr>
          <w:sz w:val="28"/>
          <w:szCs w:val="28"/>
        </w:rPr>
        <w:t xml:space="preserve">(далее - Разработчик)</w:t>
      </w:r>
      <w:r>
        <w:rPr>
          <w:sz w:val="28"/>
          <w:szCs w:val="28"/>
        </w:rPr>
        <w:t xml:space="preserve"> для подготовки настоящего Заключения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 сообщает следующее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</w:t>
      </w:r>
      <w:r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Ленинградского муниципального окр</w:t>
      </w:r>
      <w:r>
        <w:rPr>
          <w:sz w:val="28"/>
          <w:szCs w:val="28"/>
        </w:rPr>
        <w:t xml:space="preserve">уга,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>
        <w:rPr>
          <w:sz w:val="28"/>
          <w:szCs w:val="28"/>
        </w:rPr>
        <w:t xml:space="preserve">(далее - Порядок) проект подлежит проведению оценки регулирующего воздействия.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Степень регулирующего воздействия -  </w:t>
      </w:r>
      <w:r>
        <w:rPr>
          <w:sz w:val="28"/>
          <w:szCs w:val="28"/>
        </w:rPr>
        <w:t xml:space="preserve">высокая</w:t>
      </w:r>
      <w:r>
        <w:rPr>
          <w:sz w:val="28"/>
          <w:szCs w:val="28"/>
        </w:rPr>
        <w:t xml:space="preserve">.   </w:t>
      </w:r>
      <w:r>
        <w:rPr>
          <w:sz w:val="28"/>
          <w:szCs w:val="28"/>
        </w:rPr>
      </w:r>
    </w:p>
    <w:p>
      <w:pPr>
        <w:pStyle w:val="7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устанавливающие новые обязанности для субъектов предпринимательской и иной экономической деятельности.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>
        <w:rPr>
          <w:rFonts w:eastAsiaTheme="minorEastAsia"/>
          <w:sz w:val="28"/>
          <w:szCs w:val="28"/>
        </w:rPr>
        <w:t xml:space="preserve">П</w:t>
      </w:r>
      <w:r>
        <w:rPr>
          <w:rFonts w:eastAsiaTheme="minorEastAsia"/>
          <w:sz w:val="28"/>
          <w:szCs w:val="28"/>
        </w:rPr>
        <w:t xml:space="preserve">роекта требования Порядка Разработчиком соблюдены.</w:t>
      </w:r>
      <w:r>
        <w:rPr>
          <w:rFonts w:eastAsiaTheme="minorEastAsia"/>
          <w:sz w:val="28"/>
          <w:szCs w:val="28"/>
        </w:rPr>
      </w:r>
    </w:p>
    <w:p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Проект направлен Разработчиком для проведения оценки регулирующего воздействия впервые.</w:t>
      </w:r>
      <w:r>
        <w:rPr>
          <w:rFonts w:eastAsiaTheme="minorEastAsia"/>
          <w:sz w:val="28"/>
          <w:szCs w:val="28"/>
        </w:rPr>
      </w:r>
    </w:p>
    <w:p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Проведен анализ результатов исследований, проводимых регулирующим органом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>
        <w:rPr>
          <w:rFonts w:eastAsiaTheme="minorEastAsia"/>
          <w:sz w:val="28"/>
          <w:szCs w:val="28"/>
        </w:rPr>
        <w:t xml:space="preserve">регулирующим органом </w:t>
      </w:r>
      <w:r>
        <w:rPr>
          <w:rFonts w:eastAsiaTheme="minorEastAsia"/>
          <w:sz w:val="28"/>
          <w:szCs w:val="28"/>
        </w:rPr>
        <w:t xml:space="preserve">всех возможных вариант</w:t>
      </w:r>
      <w:r>
        <w:rPr>
          <w:rFonts w:eastAsiaTheme="minorEastAsia"/>
          <w:sz w:val="28"/>
          <w:szCs w:val="28"/>
        </w:rPr>
        <w:t xml:space="preserve">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  <w:r>
        <w:rPr>
          <w:rFonts w:eastAsiaTheme="minorEastAsia"/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азработчиком предложен один вариант правового регулирования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принятие постановления администрации </w:t>
      </w:r>
      <w:r>
        <w:rPr>
          <w:sz w:val="28"/>
          <w:szCs w:val="28"/>
        </w:rPr>
        <w:t xml:space="preserve">муниципального образования Ленинградский муниципальный округ Краснодарского </w:t>
      </w:r>
      <w:r>
        <w:rPr>
          <w:sz w:val="28"/>
          <w:szCs w:val="28"/>
        </w:rPr>
        <w:t xml:space="preserve">края «</w:t>
      </w:r>
      <w:r>
        <w:rPr>
          <w:sz w:val="28"/>
          <w:szCs w:val="28"/>
        </w:rPr>
        <w:t xml:space="preserve">Об утверждении Положения о порядке организации и проведения торгов (в форме электронного аукциона)  на право заключения договора  на размещение нестационарных торговых объектов</w:t>
      </w:r>
      <w:r>
        <w:rPr>
          <w:sz w:val="28"/>
          <w:szCs w:val="28"/>
        </w:rPr>
        <w:t xml:space="preserve"> на территории Ленинградского  муниципального округа в зданиях, строениях, сооружениях и на  земельных участках, находящихся в муниципальной собственности либо государственная собственность на которые не разграничена</w:t>
      </w:r>
      <w:r>
        <w:rPr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8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достижения заявленн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Проведена оценка эффективности </w:t>
      </w:r>
      <w:r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>
        <w:rPr>
          <w:rFonts w:eastAsiaTheme="minorEastAsia"/>
          <w:sz w:val="28"/>
          <w:szCs w:val="28"/>
        </w:rPr>
        <w:t xml:space="preserve">основанн</w:t>
      </w:r>
      <w:r>
        <w:rPr>
          <w:rFonts w:eastAsiaTheme="minorEastAsia"/>
          <w:sz w:val="28"/>
          <w:szCs w:val="28"/>
        </w:rPr>
        <w:t xml:space="preserve">ого</w:t>
      </w:r>
      <w:r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  <w:r>
        <w:rPr>
          <w:rFonts w:eastAsiaTheme="minorEastAsia"/>
          <w:sz w:val="28"/>
          <w:szCs w:val="28"/>
        </w:rPr>
      </w:r>
    </w:p>
    <w:p>
      <w:pPr>
        <w:pStyle w:val="78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роблема</w:t>
      </w:r>
      <w:r>
        <w:rPr>
          <w:rFonts w:ascii="Times New Roman" w:hAnsi="Times New Roman" w:cs="Times New Roman"/>
          <w:sz w:val="28"/>
          <w:szCs w:val="28"/>
        </w:rPr>
        <w:t xml:space="preserve">, на решение которой направлено правовое регулирование, сформирована точно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определены потенциальные адресаты предлагаемого правового регулиро</w:t>
      </w:r>
      <w:r>
        <w:rPr>
          <w:sz w:val="28"/>
          <w:szCs w:val="28"/>
        </w:rPr>
        <w:t xml:space="preserve">вания: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юридические лица, индивидуальные предприниматели и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</w:t>
      </w:r>
      <w:r>
        <w:rPr>
          <w:sz w:val="28"/>
          <w:szCs w:val="28"/>
        </w:rPr>
        <w:t xml:space="preserve">самозанятые</w:t>
      </w:r>
      <w:r>
        <w:rPr>
          <w:sz w:val="28"/>
          <w:szCs w:val="28"/>
        </w:rPr>
        <w:t xml:space="preserve">) желающие осуществлять торговую деятельность в нестационарных объектах.  </w:t>
      </w:r>
      <w:r>
        <w:rPr>
          <w:sz w:val="28"/>
          <w:szCs w:val="28"/>
        </w:rPr>
      </w:r>
    </w:p>
    <w:p>
      <w:pPr>
        <w:ind w:firstLine="567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- к</w:t>
      </w:r>
      <w:r>
        <w:rPr>
          <w:sz w:val="28"/>
          <w:szCs w:val="28"/>
        </w:rPr>
        <w:t xml:space="preserve">оличественная оц</w:t>
      </w:r>
      <w:r>
        <w:rPr>
          <w:sz w:val="28"/>
          <w:szCs w:val="28"/>
        </w:rPr>
        <w:t xml:space="preserve">енка участников – по состоянию на 1 апреля 2025 г. на территории Ленинградского муниципального округа, согласно утвержденной схемы размещения нестационарных торговых объектов на землях, находящихся в муниципальной собственности, запланировано к размещению </w:t>
      </w:r>
      <w:r>
        <w:rPr>
          <w:sz w:val="28"/>
          <w:szCs w:val="28"/>
        </w:rPr>
        <w:t xml:space="preserve">59  объектов</w:t>
      </w:r>
      <w:r>
        <w:rPr>
          <w:sz w:val="28"/>
          <w:szCs w:val="28"/>
        </w:rPr>
        <w:t xml:space="preserve"> нестационарной торговли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78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>
        <w:rPr>
          <w:rFonts w:ascii="Times New Roman" w:hAnsi="Times New Roman" w:cs="Times New Roman"/>
          <w:sz w:val="28"/>
          <w:szCs w:val="28"/>
        </w:rPr>
        <w:t xml:space="preserve">проектом правового регулирования определена объективно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с даты вступления в силу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в связи с чем отсутствует необходимость в последующем мониторинге достижения целей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предполагаются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 (бюджета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), связанны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177000 руб., (предполагаемая стоимость рыночной оценки места размещения НТО 3000 руб., запланировано к размещению 59 объектов нестационарной торговли);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отсутствуют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установлено следующее: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color w:val="000000" w:themeColor="text1"/>
          <w:sz w:val="28"/>
          <w:szCs w:val="28"/>
        </w:rPr>
        <w:t xml:space="preserve">. Потенциальными группами участников общественных отношений, интересы которых будут затронуты правовым регулированием, являются</w:t>
      </w:r>
      <w:r>
        <w:rPr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юридические лица, индивидуальные предприниматели и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претендующие на заключение договора и подавшие заявку на участие в торгах.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rFonts w:eastAsia="Sylfaen"/>
          <w:sz w:val="28"/>
          <w:szCs w:val="28"/>
        </w:rPr>
      </w:pPr>
      <w:r>
        <w:rPr>
          <w:sz w:val="28"/>
          <w:szCs w:val="28"/>
        </w:rPr>
        <w:t xml:space="preserve">2. Проблема, на решение которой направлено правовое регулирование, заключается в</w:t>
      </w:r>
      <w:r>
        <w:rPr>
          <w:sz w:val="28"/>
          <w:szCs w:val="28"/>
        </w:rPr>
        <w:t xml:space="preserve"> следующем</w:t>
      </w:r>
      <w:r>
        <w:rPr>
          <w:sz w:val="28"/>
          <w:szCs w:val="28"/>
        </w:rPr>
        <w:t xml:space="preserve">:</w:t>
      </w:r>
      <w:r>
        <w:rPr>
          <w:rFonts w:eastAsia="Sylfaen"/>
          <w:sz w:val="28"/>
          <w:szCs w:val="28"/>
        </w:rPr>
        <w:t xml:space="preserve"> </w:t>
      </w:r>
      <w:r>
        <w:rPr>
          <w:rFonts w:eastAsia="Sylfaen"/>
          <w:sz w:val="28"/>
          <w:szCs w:val="28"/>
        </w:rPr>
      </w:r>
    </w:p>
    <w:p>
      <w:pPr>
        <w:ind w:firstLine="709"/>
        <w:jc w:val="both"/>
        <w:rPr>
          <w:rFonts w:eastAsia="Sylfaen"/>
          <w:sz w:val="28"/>
          <w:szCs w:val="28"/>
        </w:rPr>
      </w:pPr>
      <w:r>
        <w:rPr>
          <w:rFonts w:eastAsia="Sylfaen"/>
          <w:sz w:val="28"/>
          <w:szCs w:val="28"/>
        </w:rPr>
        <w:t xml:space="preserve">отсутствует </w:t>
      </w:r>
      <w:r>
        <w:rPr>
          <w:rFonts w:eastAsia="Sylfaen"/>
          <w:sz w:val="28"/>
          <w:szCs w:val="28"/>
        </w:rPr>
        <w:t xml:space="preserve">право </w:t>
      </w:r>
      <w:r>
        <w:rPr>
          <w:rFonts w:eastAsia="Sylfaen"/>
          <w:sz w:val="28"/>
          <w:szCs w:val="28"/>
        </w:rPr>
        <w:t xml:space="preserve">хозяйствующих субъектов на </w:t>
      </w:r>
      <w:r>
        <w:rPr>
          <w:rFonts w:eastAsia="Sylfaen"/>
          <w:sz w:val="28"/>
          <w:szCs w:val="28"/>
        </w:rPr>
        <w:t xml:space="preserve">заключени</w:t>
      </w:r>
      <w:r>
        <w:rPr>
          <w:rFonts w:eastAsia="Sylfaen"/>
          <w:sz w:val="28"/>
          <w:szCs w:val="28"/>
        </w:rPr>
        <w:t xml:space="preserve">е</w:t>
      </w:r>
      <w:r>
        <w:rPr>
          <w:rFonts w:eastAsia="Sylfaen"/>
          <w:sz w:val="28"/>
          <w:szCs w:val="28"/>
        </w:rPr>
        <w:t xml:space="preserve"> </w:t>
      </w:r>
      <w:r>
        <w:rPr>
          <w:rFonts w:eastAsia="Sylfaen"/>
          <w:sz w:val="28"/>
          <w:szCs w:val="28"/>
        </w:rPr>
        <w:t xml:space="preserve">договора  на</w:t>
      </w:r>
      <w:r>
        <w:rPr>
          <w:rFonts w:eastAsia="Sylfaen"/>
          <w:sz w:val="28"/>
          <w:szCs w:val="28"/>
        </w:rPr>
        <w:t xml:space="preserve"> размещение нестационарных торговых объектов</w:t>
      </w:r>
      <w:r>
        <w:rPr>
          <w:rFonts w:eastAsia="Sylfaen"/>
          <w:sz w:val="28"/>
          <w:szCs w:val="28"/>
        </w:rPr>
        <w:t xml:space="preserve"> на территории Ленинградского  муниципального округа в зданиях, строениях, сооружениях и на  земельных участках, находящихся в муниципальной собственности либо государственная собственность на которые не разграничена</w:t>
      </w:r>
      <w:r>
        <w:rPr>
          <w:rFonts w:eastAsia="Sylfaen"/>
          <w:sz w:val="28"/>
          <w:szCs w:val="28"/>
        </w:rPr>
        <w:t xml:space="preserve">.</w:t>
      </w:r>
      <w:r>
        <w:rPr>
          <w:rFonts w:eastAsia="Sylfaen"/>
          <w:sz w:val="28"/>
          <w:szCs w:val="28"/>
        </w:rPr>
      </w:r>
    </w:p>
    <w:p>
      <w:pPr>
        <w:jc w:val="both"/>
        <w:tabs>
          <w:tab w:val="left" w:pos="1134" w:leader="none"/>
          <w:tab w:val="left" w:pos="1276" w:leader="none"/>
          <w:tab w:val="left" w:pos="1418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Цель предлагаемого правового регулирования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утверждение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порядке организации и проведения торгов (в форме электронного </w:t>
      </w:r>
      <w:r>
        <w:rPr>
          <w:sz w:val="28"/>
          <w:szCs w:val="28"/>
        </w:rPr>
        <w:t xml:space="preserve">аукциона)  на</w:t>
      </w:r>
      <w:r>
        <w:rPr>
          <w:sz w:val="28"/>
          <w:szCs w:val="28"/>
        </w:rPr>
        <w:t xml:space="preserve"> право заключения договора  на размещение нестационарных торговых объектов на территории Ленинградского  муниципального округа в зданиях, строениях, сооружениях и на  земельных участках, находящихся в </w:t>
      </w:r>
      <w:r>
        <w:rPr>
          <w:sz w:val="28"/>
          <w:szCs w:val="28"/>
        </w:rPr>
        <w:t xml:space="preserve">муниципальной собственности </w:t>
      </w:r>
      <w:r>
        <w:rPr>
          <w:sz w:val="28"/>
          <w:szCs w:val="28"/>
        </w:rPr>
        <w:t xml:space="preserve">либо государственная собственность на которые не разграничена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jc w:val="both"/>
        <w:tabs>
          <w:tab w:val="left" w:pos="1134" w:leader="none"/>
          <w:tab w:val="left" w:pos="1276" w:leader="none"/>
          <w:tab w:val="left" w:pos="1418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Цел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правового регулирования </w:t>
      </w:r>
      <w:r>
        <w:rPr>
          <w:sz w:val="28"/>
          <w:szCs w:val="28"/>
        </w:rPr>
        <w:t xml:space="preserve">соответствует </w:t>
      </w:r>
      <w:r>
        <w:rPr>
          <w:sz w:val="28"/>
          <w:szCs w:val="28"/>
        </w:rPr>
        <w:t xml:space="preserve">принципам правового регулирования, установленным </w:t>
      </w:r>
      <w:r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 xml:space="preserve">законодательством Российской Федерации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Краснодарского края.</w:t>
      </w:r>
      <w:r>
        <w:rPr>
          <w:sz w:val="28"/>
          <w:szCs w:val="28"/>
        </w:rPr>
      </w:r>
    </w:p>
    <w:p>
      <w:pPr>
        <w:pStyle w:val="7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устанавливающие новые обязанности для субъектов предпринимательской и иной экономической деятельности.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Участие в торгах вправе принимать заявители, зарегистрированные в государственной информационной системе «Официальный сайт Российской Федерации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www.torgi.gov.ru, (далее – официальный сайт)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главой II приказа Федерального казначейства от 02 декабря 2021 г. № 38н «Об утверждении Регламента государственной информационной системы «Официальный сайт Российской Федерации в информационно-телекоммуникационной сети «Интернет» www.torgi.gov.ru».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Заявка на участие в торгах подается в срок и по форме, которые установлены документацией о торгах.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Заявка на участие в торгах подается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 Заявка на участие в аукционе должна содержать следующие документы и сведения: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полное и сокращенное (при наличии) наименования юридического лица, адрес (место нахождения) на территории Российской Федерации, фамилию, имя, отчество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идентификационный номер налогоплательщика юридического лица (если заявителем является юридическое лицо), физического лица, в том числе зарегистрированного</w:t>
      </w:r>
      <w:r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код причины постановки на учет юридического лица (если заявителем является юридическое лицо);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докум</w:t>
      </w:r>
      <w:r>
        <w:rPr>
          <w:rFonts w:ascii="Times New Roman" w:hAnsi="Times New Roman" w:cs="Times New Roman"/>
          <w:sz w:val="28"/>
          <w:szCs w:val="28"/>
        </w:rPr>
        <w:t xml:space="preserve">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</w:t>
      </w:r>
      <w:r>
        <w:rPr>
          <w:rFonts w:ascii="Times New Roman" w:hAnsi="Times New Roman" w:cs="Times New Roman"/>
          <w:sz w:val="28"/>
          <w:szCs w:val="28"/>
        </w:rPr>
        <w:t xml:space="preserve">т правом действовать от имени заявителя без доверенности),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с гражданским законодательством Российской Федерации, в случае,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информацию о не проведении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документы или копии документов, подтверждающие внесение задатка.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</w:t>
      </w:r>
      <w:r>
        <w:rPr>
          <w:rFonts w:ascii="Times New Roman" w:hAnsi="Times New Roman" w:cs="Times New Roman"/>
          <w:sz w:val="28"/>
          <w:szCs w:val="28"/>
        </w:rPr>
        <w:t xml:space="preserve">МНПА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бязательные требования не установлены.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Par228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Риски </w:t>
      </w:r>
      <w:r>
        <w:rPr>
          <w:rFonts w:ascii="Times New Roman" w:hAnsi="Times New Roman" w:cs="Times New Roman"/>
          <w:sz w:val="28"/>
          <w:szCs w:val="28"/>
        </w:rPr>
        <w:t xml:space="preserve">недостижения</w:t>
      </w:r>
      <w:r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отсутствуют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Доп</w:t>
      </w:r>
      <w:r>
        <w:rPr>
          <w:rFonts w:ascii="Times New Roman" w:hAnsi="Times New Roman" w:cs="Times New Roman"/>
          <w:sz w:val="28"/>
          <w:szCs w:val="28"/>
        </w:rPr>
        <w:t xml:space="preserve">олнительными расходами районного бюджета (бюджета администрации Ленинградского муниципального округа), связанными с введением предлагаемого правового регулирования будет являются установление рыночной стоимости размещения нестационарного торгового объекта </w:t>
      </w:r>
      <w:r>
        <w:rPr>
          <w:rFonts w:ascii="Times New Roman" w:hAnsi="Times New Roman" w:cs="Times New Roman"/>
          <w:sz w:val="28"/>
          <w:szCs w:val="28"/>
        </w:rPr>
        <w:t xml:space="preserve">177000 руб., (предполагаемая стоимость рыночной оценки места размещения НТО 3000 руб.,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запланировано к размещению 59 объектов нестационарной торговли).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заявления о</w:t>
      </w:r>
      <w:r>
        <w:rPr>
          <w:color w:val="000000"/>
          <w:sz w:val="28"/>
          <w:szCs w:val="28"/>
        </w:rPr>
        <w:t xml:space="preserve">б участии в </w:t>
      </w:r>
      <w:r>
        <w:rPr>
          <w:color w:val="000000"/>
          <w:sz w:val="28"/>
          <w:szCs w:val="28"/>
        </w:rPr>
        <w:t xml:space="preserve">торгах: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6498</w:t>
      </w:r>
      <w:r>
        <w:rPr>
          <w:color w:val="000000" w:themeColor="text1"/>
          <w:sz w:val="28"/>
          <w:szCs w:val="28"/>
        </w:rPr>
        <w:t xml:space="preserve">,78 руб. в расчете на 1 ед.</w:t>
      </w:r>
      <w:r>
        <w:rPr>
          <w:sz w:val="28"/>
          <w:szCs w:val="28"/>
        </w:rPr>
      </w:r>
    </w:p>
    <w:p>
      <w:pPr>
        <w:pStyle w:val="78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Методике     оценки стандартных издержек субъектов предпринимательской и иной экономической деятельности, возникающих в связи с исполнением требований регулир</w:t>
      </w:r>
      <w:r>
        <w:rPr>
          <w:rFonts w:ascii="Times New Roman" w:hAnsi="Times New Roman" w:cs="Times New Roman"/>
          <w:sz w:val="24"/>
          <w:szCs w:val="24"/>
        </w:rPr>
        <w:t xml:space="preserve">ования, утвержденной приказом Министерства экономического развития Российской Федерации от 2 февраля 2024 г. № 54,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Расчет вышеуказанной суммы затрат произведен с использованием калькулятора расчета стандартных издержек (</w:t>
      </w:r>
      <w:r>
        <w:rPr>
          <w:sz w:val="24"/>
          <w:szCs w:val="24"/>
          <w:lang w:val="en-US"/>
        </w:rPr>
        <w:t xml:space="preserve">regulation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gov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ru</w:t>
      </w:r>
      <w:r>
        <w:rPr>
          <w:sz w:val="24"/>
          <w:szCs w:val="24"/>
        </w:rPr>
        <w:t xml:space="preserve">): </w:t>
      </w:r>
      <w:r>
        <w:rPr>
          <w:sz w:val="24"/>
          <w:szCs w:val="24"/>
        </w:rPr>
      </w:r>
    </w:p>
    <w:p>
      <w:pPr>
        <w:pStyle w:val="782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азвание требования: предоставление пакета документов;</w:t>
      </w:r>
      <w:r>
        <w:rPr>
          <w:sz w:val="24"/>
          <w:szCs w:val="24"/>
        </w:rPr>
      </w:r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тип требования: предоставление информации;</w:t>
      </w:r>
      <w:r>
        <w:rPr>
          <w:sz w:val="24"/>
          <w:szCs w:val="24"/>
        </w:rPr>
      </w:r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раздел требования: информационное;</w:t>
      </w:r>
      <w:r>
        <w:rPr>
          <w:sz w:val="24"/>
          <w:szCs w:val="24"/>
        </w:rPr>
      </w:r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информационный элемент: предоставление заявления, справок, подтверждающих документов, совершенных действий (произведенных расходов) и т.п.;</w:t>
      </w:r>
      <w:r>
        <w:rPr>
          <w:sz w:val="24"/>
          <w:szCs w:val="24"/>
        </w:rPr>
      </w:r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тип элемента: документы, составленные совместно с третьими лицами для хранения /передачи органам власти; или внутренние документы для хранения /передачи органам власти; или иное;</w:t>
      </w:r>
      <w:r>
        <w:rPr>
          <w:sz w:val="24"/>
          <w:szCs w:val="24"/>
        </w:rPr>
      </w:r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масштаб: количество субъектов деятельности в сфере промышленности на территории Краснодарского края – </w:t>
      </w:r>
      <w:r>
        <w:rPr>
          <w:sz w:val="24"/>
          <w:szCs w:val="24"/>
        </w:rPr>
        <w:t xml:space="preserve">59</w:t>
      </w:r>
      <w:r>
        <w:rPr>
          <w:sz w:val="24"/>
          <w:szCs w:val="24"/>
        </w:rPr>
        <w:t xml:space="preserve"> ед.;</w:t>
      </w:r>
      <w:r>
        <w:rPr>
          <w:sz w:val="24"/>
          <w:szCs w:val="24"/>
        </w:rPr>
      </w:r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частота: 1 ед.</w:t>
      </w:r>
      <w:r>
        <w:rPr>
          <w:sz w:val="24"/>
          <w:szCs w:val="24"/>
        </w:rPr>
      </w:r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Действия:</w:t>
      </w:r>
      <w:r>
        <w:rPr>
          <w:sz w:val="24"/>
          <w:szCs w:val="24"/>
        </w:rPr>
      </w:r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написание любого документа низкого уровня сложности (менее 5 стр. печатного текста) – 1,00 чел./часов;</w:t>
      </w:r>
      <w:r>
        <w:rPr>
          <w:sz w:val="24"/>
          <w:szCs w:val="24"/>
        </w:rPr>
      </w:r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копирование документов – 1,00 чел./часов;</w:t>
      </w:r>
      <w:r>
        <w:rPr>
          <w:sz w:val="24"/>
          <w:szCs w:val="24"/>
        </w:rPr>
      </w:r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подача заявления – 1,00 чел./часов.</w:t>
      </w:r>
      <w:r>
        <w:rPr>
          <w:sz w:val="24"/>
          <w:szCs w:val="24"/>
        </w:rPr>
      </w:r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Иные действия (предусмотренные проектом НПА) со стороны потенциальных адресатов предлагаемого регулирования (за исключением приобретения услуг,</w:t>
      </w:r>
      <w:r>
        <w:rPr>
          <w:sz w:val="24"/>
          <w:szCs w:val="24"/>
        </w:rPr>
      </w:r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работ) – 0,10 чел./часов.</w:t>
      </w:r>
      <w:r>
        <w:rPr>
          <w:sz w:val="24"/>
          <w:szCs w:val="24"/>
        </w:rPr>
      </w:r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Среднемесячная заработная плата по </w:t>
      </w:r>
      <w:r>
        <w:rPr>
          <w:sz w:val="24"/>
          <w:szCs w:val="24"/>
        </w:rPr>
        <w:t xml:space="preserve">Ленинградскому округу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1 марта 2025 г.  согласно данным органов статистики</w:t>
      </w:r>
      <w:r>
        <w:rPr>
          <w:sz w:val="24"/>
          <w:szCs w:val="24"/>
        </w:rPr>
        <w:t xml:space="preserve"> по крупным и средним предприятиям</w:t>
      </w:r>
      <w:r>
        <w:rPr>
          <w:sz w:val="24"/>
          <w:szCs w:val="24"/>
        </w:rPr>
        <w:t xml:space="preserve">:</w:t>
      </w:r>
      <w:r>
        <w:t xml:space="preserve"> </w:t>
      </w:r>
      <w:r>
        <w:rPr>
          <w:sz w:val="24"/>
          <w:szCs w:val="24"/>
        </w:rPr>
        <w:t xml:space="preserve">61533,1 руб.  </w:t>
      </w:r>
      <w:r>
        <w:rPr>
          <w:sz w:val="24"/>
          <w:szCs w:val="24"/>
        </w:rPr>
      </w:r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Средняя стоимость часа работы: </w:t>
      </w:r>
      <w:r>
        <w:rPr>
          <w:sz w:val="24"/>
          <w:szCs w:val="24"/>
        </w:rPr>
        <w:t xml:space="preserve">366,26 руб.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Стоимость требования: </w:t>
      </w:r>
      <w:r>
        <w:rPr>
          <w:sz w:val="24"/>
          <w:szCs w:val="24"/>
        </w:rPr>
        <w:t xml:space="preserve">64828,02</w:t>
      </w:r>
      <w:r>
        <w:rPr>
          <w:sz w:val="24"/>
          <w:szCs w:val="24"/>
        </w:rPr>
        <w:t xml:space="preserve"> руб. (</w:t>
      </w:r>
      <w:r>
        <w:rPr>
          <w:sz w:val="24"/>
          <w:szCs w:val="24"/>
        </w:rPr>
        <w:t xml:space="preserve">1098,78</w:t>
      </w:r>
      <w:r>
        <w:rPr>
          <w:sz w:val="24"/>
          <w:szCs w:val="24"/>
        </w:rPr>
        <w:t xml:space="preserve"> *7 000) в расчете на </w:t>
      </w:r>
      <w:r>
        <w:rPr>
          <w:sz w:val="24"/>
          <w:szCs w:val="24"/>
        </w:rPr>
        <w:t xml:space="preserve">59</w:t>
      </w:r>
      <w:r>
        <w:rPr>
          <w:sz w:val="24"/>
          <w:szCs w:val="24"/>
        </w:rPr>
        <w:t xml:space="preserve"> ед. </w:t>
      </w:r>
      <w:r>
        <w:rPr>
          <w:sz w:val="24"/>
          <w:szCs w:val="24"/>
        </w:rPr>
      </w:r>
    </w:p>
    <w:p>
      <w:pPr>
        <w:ind w:firstLine="567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или 1</w:t>
      </w:r>
      <w:r>
        <w:rPr>
          <w:sz w:val="24"/>
          <w:szCs w:val="24"/>
        </w:rPr>
        <w:t xml:space="preserve"> 098,78 руб. </w:t>
      </w:r>
      <w:r>
        <w:rPr>
          <w:sz w:val="24"/>
          <w:szCs w:val="24"/>
        </w:rPr>
        <w:t xml:space="preserve">(366,26 * (1,0+1,0+1,0))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расчете на 1 ед.</w:t>
      </w:r>
      <w:r>
        <w:rPr>
          <w:sz w:val="24"/>
          <w:szCs w:val="24"/>
          <w:highlight w:val="yellow"/>
        </w:rPr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название требования: изготовление простой электронной подписи, усиленной квалифицированной электронной подписи или усиленной неквалифицированной электронной подписи;</w:t>
      </w:r>
      <w:r>
        <w:rPr>
          <w:sz w:val="24"/>
          <w:szCs w:val="24"/>
        </w:rPr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требования: содержательное;</w:t>
      </w:r>
      <w:r>
        <w:rPr>
          <w:sz w:val="24"/>
          <w:szCs w:val="24"/>
        </w:rPr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масштаб: 1 ед.  </w:t>
      </w:r>
      <w:r>
        <w:rPr>
          <w:sz w:val="24"/>
          <w:szCs w:val="24"/>
        </w:rPr>
      </w:r>
    </w:p>
    <w:p>
      <w:pPr>
        <w:ind w:firstLine="720"/>
        <w:rPr>
          <w:sz w:val="24"/>
          <w:szCs w:val="24"/>
        </w:rPr>
      </w:pPr>
      <w:r>
        <w:rPr>
          <w:bCs/>
          <w:sz w:val="24"/>
          <w:szCs w:val="24"/>
        </w:rPr>
        <w:t xml:space="preserve">частота представления:</w:t>
      </w:r>
      <w:r>
        <w:rPr>
          <w:sz w:val="24"/>
          <w:szCs w:val="24"/>
        </w:rPr>
        <w:t xml:space="preserve"> 1 ед.   </w:t>
      </w:r>
      <w:r>
        <w:rPr>
          <w:sz w:val="24"/>
          <w:szCs w:val="24"/>
        </w:rPr>
      </w:r>
    </w:p>
    <w:p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максимальная стоимость УКЭП для</w:t>
      </w:r>
      <w:r>
        <w:rPr>
          <w:sz w:val="24"/>
          <w:szCs w:val="24"/>
          <w:lang w:val="en-US" w:eastAsia="en-US"/>
        </w:rPr>
        <w:t xml:space="preserve"> </w:t>
      </w:r>
      <w:r>
        <w:rPr>
          <w:sz w:val="24"/>
          <w:szCs w:val="24"/>
          <w:lang w:eastAsia="en-US"/>
        </w:rPr>
        <w:t xml:space="preserve">юридических лиц составляет</w:t>
      </w:r>
      <w:r>
        <w:rPr>
          <w:sz w:val="24"/>
          <w:szCs w:val="24"/>
          <w:lang w:eastAsia="en-US"/>
        </w:rPr>
        <w:t xml:space="preserve"> 5 400 руб. на одного </w:t>
      </w:r>
      <w:r>
        <w:rPr>
          <w:sz w:val="24"/>
          <w:szCs w:val="24"/>
          <w:lang w:eastAsia="en-US"/>
        </w:rPr>
        <w:t xml:space="preserve">заявителя.</w:t>
      </w:r>
      <w:r>
        <w:rPr>
          <w:sz w:val="24"/>
          <w:szCs w:val="24"/>
          <w:lang w:eastAsia="en-US"/>
        </w:rPr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аксимальный размер расходов на изготовление усиленной квалифицированной электронной подписи или усиленной неквалифицированной электронной подписи для юридических лиц будет составлять приблизительно 5 400 руб. в расчете на 1 заявителя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78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Общая стоимость требования: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6498,78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расчете на 1 ед.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консультации по проекту в период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8. Информация о проводимых публичных консул</w:t>
      </w:r>
      <w:r>
        <w:rPr>
          <w:sz w:val="28"/>
          <w:szCs w:val="28"/>
        </w:rPr>
        <w:t xml:space="preserve">ьтациях была размещена    на официальном сайте администрации Ленинградского муниципального округа (www.adminlenkub.ru), а также направлена в адрес лиц с которыми заключены соглашения о взаимодействии по вопросам проведения оценки регулирующего воздействия.</w:t>
      </w:r>
      <w:r>
        <w:rPr>
          <w:sz w:val="28"/>
          <w:szCs w:val="28"/>
        </w:rPr>
      </w:r>
    </w:p>
    <w:p>
      <w:pPr>
        <w:pStyle w:val="78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период проведения публичных консультаций замечаний и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от участников публичных консультаций по проекту не поступало.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субъек</w:t>
      </w:r>
      <w:r>
        <w:rPr>
          <w:rFonts w:ascii="Times New Roman" w:hAnsi="Times New Roman" w:cs="Times New Roman"/>
          <w:sz w:val="28"/>
          <w:szCs w:val="28"/>
        </w:rPr>
        <w:t xml:space="preserve">тов  малого и среднего предпринимательства (юридических лиц, индивидуальных предпринимателей) или способствующих их введению,  оказывающих негативное влияние на отрасли экономики Ленинградского муниципального округа, способствующих возникновению необоснова</w:t>
      </w:r>
      <w:r>
        <w:rPr>
          <w:rFonts w:ascii="Times New Roman" w:hAnsi="Times New Roman" w:cs="Times New Roman"/>
          <w:sz w:val="28"/>
          <w:szCs w:val="28"/>
        </w:rPr>
        <w:t xml:space="preserve">нных расходов субъектов малого и среднего предпринимательства (юридических лиц, индивидуальных предпринимателей), а также необоснованных расходов местного бюджета (бюджета Ленинградского муниципального округа), и о возможности его дальнейшего согласования.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развития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экономики администрации                                                             Н.Г. </w:t>
      </w:r>
      <w:r>
        <w:rPr>
          <w:rFonts w:ascii="Times New Roman" w:hAnsi="Times New Roman" w:cs="Times New Roman"/>
          <w:sz w:val="28"/>
          <w:szCs w:val="28"/>
        </w:rPr>
        <w:t xml:space="preserve">Пырхова</w:t>
      </w:r>
      <w:bookmarkStart w:id="1" w:name="_GoBack"/>
      <w:r/>
      <w:bookmarkEnd w:id="1"/>
      <w:r/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continuous"/>
      <w:pgSz w:w="11909" w:h="16834" w:orient="portrait"/>
      <w:pgMar w:top="1134" w:right="567" w:bottom="1134" w:left="1701" w:header="567" w:footer="567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FreeSerif">
    <w:panose1 w:val="02020603050405020304"/>
  </w:font>
  <w:font w:name="Wingdings">
    <w:panose1 w:val="05010000000000000000"/>
  </w:font>
  <w:font w:name="Symbol">
    <w:panose1 w:val="05010000000000000000"/>
  </w:font>
  <w:font w:name="Cambria Math">
    <w:panose1 w:val="02000603000000000000"/>
  </w:font>
  <w:font w:name="Courier New">
    <w:panose1 w:val="02070309020205020404"/>
  </w:font>
  <w:font w:name="Calibri">
    <w:panose1 w:val="020F0502020204030204"/>
  </w:font>
  <w:font w:name="Sylfaen">
    <w:panose1 w:val="02040502050405020303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38409479"/>
      <w:docPartObj>
        <w:docPartGallery w:val="Page Numbers (Top of Page)"/>
        <w:docPartUnique w:val="true"/>
      </w:docPartObj>
      <w:rPr/>
    </w:sdtPr>
    <w:sdtContent>
      <w:p>
        <w:pPr>
          <w:pStyle w:val="78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  <w:p>
    <w:pPr>
      <w:pStyle w:val="78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9" w:firstLine="794"/>
        <w:tabs>
          <w:tab w:val="num" w:pos="144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position w:val="0"/>
        <w:sz w:val="25"/>
        <w:szCs w:val="25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  <w:rPr>
        <w:rFonts w:ascii="FreeSerif" w:hAnsi="FreeSerif" w:eastAsia="FreeSerif" w:cs="Free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3.%1."/>
      <w:lvlJc w:val="left"/>
      <w:pPr>
        <w:ind w:left="1417" w:hanging="360"/>
      </w:pPr>
      <w:rPr>
        <w:rFonts w:ascii="FreeSerif" w:hAnsi="FreeSerif" w:eastAsia="FreeSerif" w:cs="Free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  <w:tabs>
          <w:tab w:val="num" w:pos="92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17"/>
  </w:num>
  <w:num w:numId="13">
    <w:abstractNumId w:val="3"/>
  </w:num>
  <w:num w:numId="14">
    <w:abstractNumId w:val="7"/>
  </w:num>
  <w:num w:numId="15">
    <w:abstractNumId w:val="8"/>
  </w:num>
  <w:num w:numId="16">
    <w:abstractNumId w:val="1"/>
  </w:num>
  <w:num w:numId="17">
    <w:abstractNumId w:val="15"/>
  </w:num>
  <w:num w:numId="18">
    <w:abstractNumId w:val="12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9"/>
    <w:link w:val="76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69"/>
    <w:link w:val="76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69"/>
    <w:link w:val="768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65"/>
    <w:next w:val="76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6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65"/>
    <w:next w:val="76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6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65"/>
    <w:next w:val="76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6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5"/>
    <w:next w:val="76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5"/>
    <w:next w:val="76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5"/>
    <w:next w:val="76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65"/>
    <w:next w:val="76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69"/>
    <w:link w:val="34"/>
    <w:uiPriority w:val="10"/>
    <w:rPr>
      <w:sz w:val="48"/>
      <w:szCs w:val="48"/>
    </w:rPr>
  </w:style>
  <w:style w:type="paragraph" w:styleId="36">
    <w:name w:val="Subtitle"/>
    <w:basedOn w:val="765"/>
    <w:next w:val="76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9"/>
    <w:link w:val="36"/>
    <w:uiPriority w:val="11"/>
    <w:rPr>
      <w:sz w:val="24"/>
      <w:szCs w:val="24"/>
    </w:rPr>
  </w:style>
  <w:style w:type="paragraph" w:styleId="38">
    <w:name w:val="Quote"/>
    <w:basedOn w:val="765"/>
    <w:next w:val="76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65"/>
    <w:next w:val="76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9"/>
    <w:link w:val="786"/>
    <w:uiPriority w:val="99"/>
  </w:style>
  <w:style w:type="character" w:styleId="45">
    <w:name w:val="Footer Char"/>
    <w:basedOn w:val="769"/>
    <w:link w:val="788"/>
    <w:uiPriority w:val="99"/>
  </w:style>
  <w:style w:type="paragraph" w:styleId="46">
    <w:name w:val="Caption"/>
    <w:basedOn w:val="765"/>
    <w:next w:val="765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69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6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69"/>
    <w:uiPriority w:val="99"/>
    <w:unhideWhenUsed/>
    <w:rPr>
      <w:vertAlign w:val="superscript"/>
    </w:rPr>
  </w:style>
  <w:style w:type="paragraph" w:styleId="178">
    <w:name w:val="endnote text"/>
    <w:basedOn w:val="76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9"/>
    <w:uiPriority w:val="99"/>
    <w:semiHidden/>
    <w:unhideWhenUsed/>
    <w:rPr>
      <w:vertAlign w:val="superscript"/>
    </w:rPr>
  </w:style>
  <w:style w:type="paragraph" w:styleId="181">
    <w:name w:val="toc 1"/>
    <w:basedOn w:val="765"/>
    <w:next w:val="76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65"/>
    <w:next w:val="76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65"/>
    <w:next w:val="76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65"/>
    <w:next w:val="76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65"/>
    <w:next w:val="76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65"/>
    <w:next w:val="76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65"/>
    <w:next w:val="76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65"/>
    <w:next w:val="76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65"/>
    <w:next w:val="76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65"/>
    <w:next w:val="765"/>
    <w:uiPriority w:val="99"/>
    <w:unhideWhenUsed/>
    <w:pPr>
      <w:spacing w:after="0" w:afterAutospacing="0"/>
    </w:pPr>
  </w:style>
  <w:style w:type="paragraph" w:styleId="765" w:default="1">
    <w:name w:val="Normal"/>
    <w:qFormat/>
    <w:pPr>
      <w:widowControl w:val="off"/>
    </w:pPr>
  </w:style>
  <w:style w:type="paragraph" w:styleId="766">
    <w:name w:val="Heading 1"/>
    <w:basedOn w:val="765"/>
    <w:next w:val="765"/>
    <w:qFormat/>
    <w:pPr>
      <w:ind w:left="1094"/>
      <w:keepNext/>
      <w:spacing w:line="302" w:lineRule="exact"/>
      <w:shd w:val="clear" w:color="auto" w:fill="ffffff"/>
      <w:outlineLvl w:val="0"/>
    </w:pPr>
    <w:rPr>
      <w:b/>
      <w:bCs/>
      <w:color w:val="000000"/>
      <w:spacing w:val="-4"/>
      <w:sz w:val="28"/>
      <w:szCs w:val="26"/>
    </w:rPr>
  </w:style>
  <w:style w:type="paragraph" w:styleId="767">
    <w:name w:val="Heading 2"/>
    <w:basedOn w:val="765"/>
    <w:next w:val="765"/>
    <w:qFormat/>
    <w:pPr>
      <w:jc w:val="center"/>
      <w:keepNext/>
      <w:spacing w:line="302" w:lineRule="exact"/>
      <w:shd w:val="clear" w:color="auto" w:fill="ffffff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768">
    <w:name w:val="Heading 3"/>
    <w:basedOn w:val="765"/>
    <w:next w:val="765"/>
    <w:link w:val="785"/>
    <w:semiHidden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769" w:default="1">
    <w:name w:val="Default Paragraph Font"/>
    <w:uiPriority w:val="1"/>
    <w:semiHidden/>
    <w:unhideWhenUsed/>
  </w:style>
  <w:style w:type="table" w:styleId="7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1" w:default="1">
    <w:name w:val="No List"/>
    <w:uiPriority w:val="99"/>
    <w:semiHidden/>
    <w:unhideWhenUsed/>
  </w:style>
  <w:style w:type="paragraph" w:styleId="772">
    <w:name w:val="Body Text"/>
    <w:basedOn w:val="765"/>
    <w:link w:val="798"/>
    <w:pPr>
      <w:jc w:val="center"/>
      <w:widowControl/>
    </w:pPr>
    <w:rPr>
      <w:b/>
      <w:bCs/>
      <w:caps/>
      <w:sz w:val="28"/>
      <w:szCs w:val="24"/>
    </w:rPr>
  </w:style>
  <w:style w:type="paragraph" w:styleId="773">
    <w:name w:val="Balloon Text"/>
    <w:basedOn w:val="765"/>
    <w:semiHidden/>
    <w:rPr>
      <w:rFonts w:ascii="Tahoma" w:hAnsi="Tahoma" w:cs="Tahoma"/>
      <w:sz w:val="16"/>
      <w:szCs w:val="16"/>
    </w:rPr>
  </w:style>
  <w:style w:type="table" w:styleId="774">
    <w:name w:val="Table Grid"/>
    <w:basedOn w:val="77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75" w:customStyle="1">
    <w:name w:val="Знак"/>
    <w:basedOn w:val="765"/>
    <w:pPr>
      <w:spacing w:after="160" w:line="240" w:lineRule="exact"/>
      <w:widowControl/>
    </w:pPr>
    <w:rPr>
      <w:rFonts w:ascii="Verdana" w:hAnsi="Verdana"/>
      <w:lang w:val="en-US" w:eastAsia="en-US"/>
    </w:rPr>
  </w:style>
  <w:style w:type="character" w:styleId="776" w:customStyle="1">
    <w:name w:val="Основной текст_"/>
    <w:basedOn w:val="769"/>
    <w:link w:val="777"/>
    <w:rPr>
      <w:spacing w:val="5"/>
      <w:sz w:val="25"/>
      <w:szCs w:val="25"/>
      <w:shd w:val="clear" w:color="auto" w:fill="ffffff"/>
    </w:rPr>
  </w:style>
  <w:style w:type="paragraph" w:styleId="777" w:customStyle="1">
    <w:name w:val="Основной текст1"/>
    <w:basedOn w:val="765"/>
    <w:link w:val="776"/>
    <w:pPr>
      <w:jc w:val="center"/>
      <w:spacing w:line="266" w:lineRule="exact"/>
      <w:shd w:val="clear" w:color="auto" w:fill="ffffff"/>
    </w:pPr>
    <w:rPr>
      <w:spacing w:val="5"/>
      <w:sz w:val="25"/>
      <w:szCs w:val="25"/>
    </w:rPr>
  </w:style>
  <w:style w:type="character" w:styleId="778">
    <w:name w:val="Hyperlink"/>
    <w:basedOn w:val="769"/>
    <w:rPr>
      <w:color w:val="0066cc"/>
      <w:u w:val="single"/>
    </w:rPr>
  </w:style>
  <w:style w:type="paragraph" w:styleId="779" w:customStyle="1">
    <w:name w:val="Основной текст2"/>
    <w:basedOn w:val="765"/>
    <w:pPr>
      <w:spacing w:after="1560" w:line="317" w:lineRule="exact"/>
      <w:shd w:val="clear" w:color="auto" w:fill="ffffff"/>
    </w:pPr>
    <w:rPr>
      <w:color w:val="000000"/>
      <w:spacing w:val="8"/>
      <w:sz w:val="24"/>
      <w:szCs w:val="24"/>
    </w:rPr>
  </w:style>
  <w:style w:type="paragraph" w:styleId="780" w:customStyle="1">
    <w:name w:val="ConsPlusNormal"/>
    <w:link w:val="799"/>
    <w:pPr>
      <w:widowControl w:val="off"/>
    </w:pPr>
    <w:rPr>
      <w:rFonts w:ascii="Calibri" w:hAnsi="Calibri" w:cs="Calibri" w:eastAsiaTheme="minorEastAsia"/>
      <w:sz w:val="22"/>
      <w:szCs w:val="22"/>
    </w:rPr>
  </w:style>
  <w:style w:type="paragraph" w:styleId="781" w:customStyle="1">
    <w:name w:val="ConsPlusNonformat"/>
    <w:uiPriority w:val="99"/>
    <w:pPr>
      <w:widowControl w:val="off"/>
    </w:pPr>
    <w:rPr>
      <w:rFonts w:ascii="Courier New" w:hAnsi="Courier New" w:cs="Courier New" w:eastAsiaTheme="minorEastAsia"/>
    </w:rPr>
  </w:style>
  <w:style w:type="paragraph" w:styleId="782">
    <w:name w:val="List Paragraph"/>
    <w:basedOn w:val="765"/>
    <w:uiPriority w:val="34"/>
    <w:qFormat/>
    <w:pPr>
      <w:contextualSpacing/>
      <w:ind w:left="720"/>
    </w:pPr>
  </w:style>
  <w:style w:type="paragraph" w:styleId="783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784" w:customStyle="1">
    <w:name w:val="Default"/>
    <w:rPr>
      <w:rFonts w:eastAsiaTheme="minorHAnsi"/>
      <w:color w:val="000000"/>
      <w:sz w:val="24"/>
      <w:szCs w:val="24"/>
      <w:lang w:eastAsia="en-US"/>
    </w:rPr>
  </w:style>
  <w:style w:type="character" w:styleId="785" w:customStyle="1">
    <w:name w:val="Заголовок 3 Знак"/>
    <w:basedOn w:val="769"/>
    <w:link w:val="768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786">
    <w:name w:val="Header"/>
    <w:basedOn w:val="765"/>
    <w:link w:val="787"/>
    <w:uiPriority w:val="99"/>
    <w:pPr>
      <w:tabs>
        <w:tab w:val="center" w:pos="4677" w:leader="none"/>
        <w:tab w:val="right" w:pos="9355" w:leader="none"/>
      </w:tabs>
    </w:pPr>
  </w:style>
  <w:style w:type="character" w:styleId="787" w:customStyle="1">
    <w:name w:val="Верхний колонтитул Знак"/>
    <w:basedOn w:val="769"/>
    <w:link w:val="786"/>
    <w:uiPriority w:val="99"/>
  </w:style>
  <w:style w:type="paragraph" w:styleId="788">
    <w:name w:val="Footer"/>
    <w:basedOn w:val="765"/>
    <w:link w:val="789"/>
    <w:pPr>
      <w:tabs>
        <w:tab w:val="center" w:pos="4677" w:leader="none"/>
        <w:tab w:val="right" w:pos="9355" w:leader="none"/>
      </w:tabs>
    </w:pPr>
  </w:style>
  <w:style w:type="character" w:styleId="789" w:customStyle="1">
    <w:name w:val="Нижний колонтитул Знак"/>
    <w:basedOn w:val="769"/>
    <w:link w:val="788"/>
  </w:style>
  <w:style w:type="paragraph" w:styleId="790" w:customStyle="1">
    <w:name w:val="Прижатый влево"/>
    <w:basedOn w:val="765"/>
    <w:next w:val="765"/>
    <w:uiPriority w:val="99"/>
    <w:pPr>
      <w:widowControl/>
    </w:pPr>
    <w:rPr>
      <w:rFonts w:ascii="Cambria Math" w:hAnsi="Cambria Math" w:eastAsia="Verdana" w:cs="Cambria Math"/>
      <w:sz w:val="24"/>
      <w:szCs w:val="24"/>
    </w:rPr>
  </w:style>
  <w:style w:type="character" w:styleId="791" w:customStyle="1">
    <w:name w:val="Гипертекстовая ссылка"/>
    <w:uiPriority w:val="99"/>
    <w:rPr>
      <w:b/>
      <w:bCs/>
      <w:color w:val="008000"/>
      <w:sz w:val="30"/>
      <w:szCs w:val="30"/>
    </w:rPr>
  </w:style>
  <w:style w:type="character" w:styleId="792" w:customStyle="1">
    <w:name w:val="blk"/>
    <w:basedOn w:val="769"/>
  </w:style>
  <w:style w:type="paragraph" w:styleId="793">
    <w:name w:val="No Spacing"/>
    <w:uiPriority w:val="1"/>
    <w:qFormat/>
    <w:rPr>
      <w:sz w:val="26"/>
      <w:szCs w:val="24"/>
    </w:rPr>
  </w:style>
  <w:style w:type="character" w:styleId="794">
    <w:name w:val="Strong"/>
    <w:basedOn w:val="769"/>
    <w:uiPriority w:val="22"/>
    <w:qFormat/>
    <w:rPr>
      <w:b/>
      <w:bCs/>
    </w:rPr>
  </w:style>
  <w:style w:type="paragraph" w:styleId="795" w:customStyle="1">
    <w:name w:val="Нормальный (таблица)"/>
    <w:basedOn w:val="765"/>
    <w:next w:val="765"/>
    <w:uiPriority w:val="99"/>
    <w:qFormat/>
    <w:pPr>
      <w:jc w:val="both"/>
    </w:pPr>
    <w:rPr>
      <w:rFonts w:ascii="Arial" w:hAnsi="Arial"/>
      <w:sz w:val="24"/>
      <w:szCs w:val="24"/>
    </w:rPr>
  </w:style>
  <w:style w:type="character" w:styleId="796" w:customStyle="1">
    <w:name w:val="Основной текст (2)_"/>
    <w:basedOn w:val="769"/>
    <w:link w:val="797"/>
    <w:rPr>
      <w:sz w:val="28"/>
      <w:szCs w:val="28"/>
      <w:shd w:val="clear" w:color="auto" w:fill="ffffff"/>
    </w:rPr>
  </w:style>
  <w:style w:type="paragraph" w:styleId="797" w:customStyle="1">
    <w:name w:val="Основной текст (2)"/>
    <w:basedOn w:val="765"/>
    <w:link w:val="796"/>
    <w:pPr>
      <w:ind w:hanging="120"/>
      <w:jc w:val="center"/>
      <w:spacing w:after="120" w:line="0" w:lineRule="atLeast"/>
      <w:shd w:val="clear" w:color="auto" w:fill="ffffff"/>
    </w:pPr>
    <w:rPr>
      <w:sz w:val="28"/>
      <w:szCs w:val="28"/>
    </w:rPr>
  </w:style>
  <w:style w:type="character" w:styleId="798" w:customStyle="1">
    <w:name w:val="Основной текст Знак"/>
    <w:basedOn w:val="769"/>
    <w:link w:val="772"/>
    <w:rPr>
      <w:b/>
      <w:bCs/>
      <w:caps/>
      <w:sz w:val="28"/>
      <w:szCs w:val="24"/>
    </w:rPr>
  </w:style>
  <w:style w:type="character" w:styleId="799" w:customStyle="1">
    <w:name w:val="ConsPlusNormal Знак"/>
    <w:link w:val="780"/>
    <w:rPr>
      <w:rFonts w:ascii="Calibri" w:hAnsi="Calibri" w:cs="Calibri" w:eastAsiaTheme="minorEastAsia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EBB37-0927-4461-B10B-7E277677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ДИО КК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romanko</cp:lastModifiedBy>
  <cp:revision>41</cp:revision>
  <dcterms:created xsi:type="dcterms:W3CDTF">2025-04-16T12:45:00Z</dcterms:created>
  <dcterms:modified xsi:type="dcterms:W3CDTF">2025-08-28T09:42:39Z</dcterms:modified>
</cp:coreProperties>
</file>