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  <w:u w:val="single"/>
        </w:rPr>
      </w:pPr>
      <w:r>
        <w:rPr>
          <w:rFonts w:ascii="FreeSerif" w:hAnsi="FreeSerif" w:eastAsia="FreeSerif" w:cs="FreeSerif"/>
          <w:sz w:val="28"/>
          <w:szCs w:val="28"/>
          <w:u w:val="single"/>
        </w:rPr>
        <w:t xml:space="preserve">от 06.02.2025 г.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 № 84</w:t>
      </w:r>
      <w:r>
        <w:rPr>
          <w:rFonts w:ascii="FreeSerif" w:hAnsi="FreeSerif" w:cs="FreeSerif"/>
          <w:sz w:val="28"/>
          <w:szCs w:val="28"/>
          <w:highlight w:val="none"/>
          <w:u w:val="single"/>
        </w:rPr>
      </w:r>
      <w:r>
        <w:rPr>
          <w:rFonts w:ascii="FreeSerif" w:hAnsi="FreeSerif" w:cs="FreeSerif"/>
          <w:sz w:val="28"/>
          <w:szCs w:val="28"/>
          <w:highlight w:val="none"/>
          <w:u w:val="singl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2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УТВЕРЖДЕНО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08.02.2013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152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933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33"/>
        <w:jc w:val="center"/>
        <w:spacing w:before="0" w:after="46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jc w:val="center"/>
        <w:spacing w:before="0"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межведомственной комиссии 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 охране труда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 Ленинградском муниципальном округе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33"/>
        <w:jc w:val="center"/>
        <w:spacing w:before="0" w:after="46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33"/>
        <w:jc w:val="center"/>
        <w:spacing w:line="240" w:lineRule="auto"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47"/>
        <w:numPr>
          <w:ilvl w:val="1"/>
          <w:numId w:val="20"/>
        </w:numPr>
        <w:contextualSpacing/>
        <w:ind w:left="0" w:right="0" w:firstLine="737"/>
        <w:jc w:val="both"/>
        <w:spacing w:before="0" w:after="0" w:line="240" w:lineRule="auto"/>
        <w:widowControl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Межведомственная комиссия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по охране труда в Ленинградском муниципальном округе </w:t>
      </w:r>
      <w:r>
        <w:rPr>
          <w:rFonts w:ascii="FreeSerif" w:hAnsi="FreeSerif" w:eastAsia="FreeSerif" w:cs="FreeSerif"/>
          <w:sz w:val="28"/>
          <w:szCs w:val="28"/>
        </w:rPr>
        <w:t xml:space="preserve">(далее – Комиссия)  создается  с целью обеспечения</w:t>
      </w:r>
      <w:r>
        <w:rPr>
          <w:rFonts w:ascii="FreeSerif" w:hAnsi="FreeSerif" w:eastAsia="FreeSerif" w:cs="FreeSerif"/>
          <w:sz w:val="28"/>
          <w:szCs w:val="28"/>
        </w:rPr>
        <w:t xml:space="preserve"> взаимодействия заинтересованных сторон по реализации на территории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Ленинградского муниципального  округа основных направлений государственной политики в области охраны труда.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1.2. Комиссия является постоянно действующим координирующим органом при администрации Ленинградского муниципального округа и действует в рамках предоставленных прав и полномочий.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1.3. Комиссия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создается постановлением администрации муниципального образования Ленинградский муниципальный округ Краснодарского края, возглавляется заместителем главы Ленинградского муниципального округа (социальная политика). Заместителем председателя Комиссии назнача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е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тся руководитель 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 (по согласованию). Секретарь Комиссии назначается из числа специалистов по охране труда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филиала государственного казенного учреждения Краснодарского края «Центр занятости населения Краснодарского края» в Ленинградском муниципальном округе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1.4. Комиссия в своей деятельности руководствуется Конституцией Российской Федерации, законами и нормативными правовыми актами Российской Федерации и Краснодарского края, 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нормативными правовыми актами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 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 рекомендациями краевой межведомственной комиссии по охране труда, а также настоящим Положением.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2. Основные задачи Комиссии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firstLine="851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В соответствии с поставленной целью Комиссия решает следующие задачи: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2.1.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Обеспечивает взаимодействие органов местного самоуправления с территориальными органами федеральных органов исполнительной власти, уполномоченных на осуществление государственного надзора и контроля в о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бласти охраны труда в крае, органами исполнительной власти Краснодарского края, объединениями профсоюзов и работодателей при реализации на территории Ленинградского муниципального округа основных направлений государственной политики в области охраны труда.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  <w:t xml:space="preserve">2.2. Определяет направления работы по улучшению условий  и  охраны труда, пожарной безопасности, профилактике производственного травматизма и профессиональной заболеваемости в организациях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  <w:t xml:space="preserve">.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  <w:t xml:space="preserve">2.3. Рассматривает проекты муниципальных целевых программ по улучшению условий и охраны труда и результаты их выполнения, проекты правовых актов по охране труда, вносит предложения по их разделам.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  <w:t xml:space="preserve">2.4. Разрабатывает рекомендации, оказывает содействие предприятиям, организациям, расположенных на территории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  <w:t xml:space="preserve"> (далее–организации), в организации системы управления охраной труда, в обобщении и распространении передового опыта работы по охране труда.</w:t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  <w:r>
        <w:rPr>
          <w:rFonts w:ascii="FreeSerif" w:hAnsi="FreeSerif" w:cs="FreeSerif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3. Функции Комиссии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firstLine="851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В соответствии с основными задачами Комиссия осуществляет следующие функции: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3.1. Заслушивает информацию территориальных органов федеральных органов исполнительной власти, расположенных на территории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уполномоченных на осуществление государственного надзора и контроля, должностных лиц органов местного самоуправления и иных организаций о соблюдении требований охраны труда в организациях отраслей экономики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а также по другим вопросам реализации государственной политики в области охраны труда.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3.2. Проводит анализ состояния условий и охраны труда на предприятиях, расположенных на территории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, причин производственного травматизма и профессиональной заболеваемости и вносит предложения по организации мероприятий по их предупреждению.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3.3. Заслушивает работодателей, допустивших случаи производственного травматизма с тяжелым и смертельным исходом, о принимаемых мерах по устранению причин производственного травматизма.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3.4. Рассматривает вопросы, связанные с реализацией краевых и муниципальных программ в области охраны труда, экономических механизмов обеспечения охраны труда в организациях, расположенных на территории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3.5. Организует при необходимости рабочие группы для разработки стратегии действий по улучшению условий и охраны труда, участия в подготовке нормативных правовых актов администрации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 муниципальных целевых программ в области охраны труда, рассмотрения и определения лучших организаций, расположенных на территории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 в области охраны труда в ходе проводимых конкурсов, месячников по охране труда, привлекая для этих целей высококвалифицированных специалистов и научных работников.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3.6. Рассматривает иные вопросы в области условий и охраны труда в пределах своей компетенции.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pStyle w:val="933"/>
        <w:ind w:firstLine="0"/>
        <w:jc w:val="left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4. Организация работы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4.1. Основной формой работы Комиссии являются заседания, проводимые один раз в квартал в соответствии с планом работы Комиссии.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По предложению членов Комиссии могут проводиться внеочередные заседания Комиссии.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4.2. План работы Комиссии на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очередной год формируется с учетом предложений федеральных органов исполнительной власти, действующих на территории Краснодарского края, органов исполнительной власти Краснодарского края, отраслевых (функциональных) и территориальных органов администрации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, объединения работодателей, а также профессиональных союзов и их объединений и утверждаются на заседании Комиссии.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Материалы для рассмотрения на заседании Комиссии планового вопроса готовятся ответственным исполнителем, указанным в плане работы Комиссии. Явку приглашенных участников по данному вопросу обеспечивает ответственный исполнитель.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4.3. Материалы предоставляются секретарю Комиссии не позднее, чем    за 25 календарных дней до планируемой даты проведения заседания Комиссии.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Не позднее, чем за о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дну неделю до проведения заседания Комиссии секретарь информирует участников о дате, времени и месте проведения заседания Комиссии и направляет в их адрес необходимые к заседанию материалы (справки, информации,  проект решения Комиссии и другие документы).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Члены Комиссии не позднее, чем за один рабочий день до даты проведения заседания Комиссии подтверждают секретарю свое участие в  заседании Комиссии. В случае невозможност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и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 члена Комиссии по уважительным причинам присутствовать на заседании Комиссии руководитель организации, представителем которой является данный член Комиссии, по согласованию с председателем Комиссии (его заместителем) может направить другого представителя.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4.4. </w:t>
      </w:r>
      <w:r>
        <w:rPr>
          <w:rFonts w:ascii="FreeSerif" w:hAnsi="FreeSerif" w:eastAsia="FreeSerif" w:cs="FreeSerif"/>
          <w:sz w:val="28"/>
          <w:szCs w:val="28"/>
        </w:rPr>
        <w:t xml:space="preserve">В заседании Комиссии могут принимать участие лица, приглашенные для обсуждения отдельных вопросов повестки дня.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4.5. Председатель Комиссии, а в сл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учае его отсутствия – заместитель председателя проводит заседание Комиссии в соответствии с принятым регламентом. В случае отсутствия председателя и его заместителя по поручению председателя Комиссии председательствующим может быть один из членов Комиссии.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4.6. Решения Комиссии принимаются открытым голосованием простым большинством голосов, присутствующих на заседании членов Комиссии. В случае равенства голосов решающим является голос председательствующего.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4.7. Заседание Комиссии оформляется протоколом, который доводится до сведения членов Комиссии, исполнителей и иных заинтересованных организаций и лиц.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4.8. Организационно-техническое обеспечение работы Комиссии осуществляет администрация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и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филиал государственного казенного учреждения Краснодарского края «Центр занятости населения Краснодарского края» в Ленинградском муниципальном округе (по согласованию). 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  <w:lang w:eastAsia="ru-RU"/>
        </w:rPr>
        <w:t xml:space="preserve">5. Права Комиссии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firstLine="851"/>
        <w:jc w:val="center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33"/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5.1.  Комиссия имеет право: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5.1.1.  Приглашать на заседание Комиссии с информацией по вопросам, относящихся к компетенции Комиссии, представителей органов местного самоуправления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, по согласованию федеральных органов исполнительной власти, уполномоченных на осуществление государственного надзора и контроля в области охраны труда в Краснодарском крае, органов исполнительной власти  Красно</w:t>
      </w:r>
      <w:r>
        <w:rPr>
          <w:rFonts w:ascii="FreeSerif" w:hAnsi="FreeSerif" w:eastAsia="FreeSerif" w:cs="FreeSerif"/>
          <w:color w:val="000000"/>
          <w:sz w:val="28"/>
          <w:szCs w:val="28"/>
          <w:lang w:eastAsia="ru-RU"/>
        </w:rPr>
        <w:t xml:space="preserve">дарского края, регионального отделения Фонда социального страхования Российской Федерации, объединений профессиональных союзов, работодателей, объединений работодателей, а также запрашивать в установленном порядке необходимые для работы Комиссии материалы.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5.1.2. Обсуждать и выносить решения о награждении победителей конкурсов в области охраны труда, которые могут быть основанием для подготовки соответствующих нормативных актов администрации </w:t>
      </w:r>
      <w:r>
        <w:rPr>
          <w:rFonts w:ascii="FreeSerif" w:hAnsi="FreeSerif" w:eastAsia="FreeSerif" w:cs="FreeSerif"/>
          <w:b w:val="0"/>
          <w:i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5.1.3.Опубликовывать в средствах массовой информации решения Комиссии и информацию о своей деятельности.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5.2. Члены Комиссии имеют право: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5.2.1. Вносить предложения о рассмотрении вопросов для включения в план работы Комиссии, а также о проведении внеочередных заседаний.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color w:val="000000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5.2.2. Знакомиться с проектами правовых актов, информационными и справочными материалами до заседания Комиссии.</w:t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  <w:r>
        <w:rPr>
          <w:rFonts w:ascii="FreeSerif" w:hAnsi="FreeSerif" w:cs="FreeSerif"/>
          <w:color w:val="000000"/>
          <w:sz w:val="28"/>
          <w:szCs w:val="28"/>
          <w:highlight w:val="none"/>
        </w:rPr>
      </w:r>
    </w:p>
    <w:p>
      <w:pPr>
        <w:ind w:left="0" w:right="0" w:firstLine="737"/>
        <w:jc w:val="both"/>
        <w:spacing w:before="0" w:after="0" w:line="24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none"/>
          <w:lang w:eastAsia="ru-RU"/>
        </w:rPr>
        <w:t xml:space="preserve">5.2.3. Вносить предложения и дополнения в проекты решений Комиссии.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57"/>
        <w:ind w:left="20" w:right="29" w:firstLine="547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33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33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52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3">
    <w:name w:val="Heading 1 Char"/>
    <w:basedOn w:val="936"/>
    <w:link w:val="934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33"/>
    <w:next w:val="933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basedOn w:val="936"/>
    <w:link w:val="764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936"/>
    <w:link w:val="935"/>
    <w:uiPriority w:val="9"/>
    <w:rPr>
      <w:rFonts w:ascii="Arial" w:hAnsi="Arial" w:eastAsia="Arial" w:cs="Arial"/>
      <w:sz w:val="30"/>
      <w:szCs w:val="30"/>
    </w:rPr>
  </w:style>
  <w:style w:type="paragraph" w:styleId="767">
    <w:name w:val="Heading 4"/>
    <w:basedOn w:val="933"/>
    <w:next w:val="933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8">
    <w:name w:val="Heading 4 Char"/>
    <w:basedOn w:val="936"/>
    <w:link w:val="767"/>
    <w:uiPriority w:val="9"/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933"/>
    <w:next w:val="933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0">
    <w:name w:val="Heading 5 Char"/>
    <w:basedOn w:val="936"/>
    <w:link w:val="769"/>
    <w:uiPriority w:val="9"/>
    <w:rPr>
      <w:rFonts w:ascii="Arial" w:hAnsi="Arial" w:eastAsia="Arial" w:cs="Arial"/>
      <w:b/>
      <w:bCs/>
      <w:sz w:val="24"/>
      <w:szCs w:val="24"/>
    </w:rPr>
  </w:style>
  <w:style w:type="paragraph" w:styleId="771">
    <w:name w:val="Heading 6"/>
    <w:basedOn w:val="933"/>
    <w:next w:val="933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2">
    <w:name w:val="Heading 6 Char"/>
    <w:basedOn w:val="936"/>
    <w:link w:val="771"/>
    <w:uiPriority w:val="9"/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933"/>
    <w:next w:val="933"/>
    <w:link w:val="7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7 Char"/>
    <w:basedOn w:val="93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933"/>
    <w:next w:val="933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6">
    <w:name w:val="Heading 8 Char"/>
    <w:basedOn w:val="936"/>
    <w:link w:val="775"/>
    <w:uiPriority w:val="9"/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933"/>
    <w:next w:val="933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Heading 9 Char"/>
    <w:basedOn w:val="936"/>
    <w:link w:val="777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  <w:pPr>
      <w:spacing w:before="0" w:after="0" w:line="240" w:lineRule="auto"/>
    </w:pPr>
  </w:style>
  <w:style w:type="paragraph" w:styleId="780">
    <w:name w:val="Title"/>
    <w:basedOn w:val="933"/>
    <w:next w:val="933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>
    <w:name w:val="Title Char"/>
    <w:basedOn w:val="936"/>
    <w:link w:val="780"/>
    <w:uiPriority w:val="10"/>
    <w:rPr>
      <w:sz w:val="48"/>
      <w:szCs w:val="48"/>
    </w:rPr>
  </w:style>
  <w:style w:type="paragraph" w:styleId="782">
    <w:name w:val="Subtitle"/>
    <w:basedOn w:val="933"/>
    <w:next w:val="933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6"/>
    <w:link w:val="782"/>
    <w:uiPriority w:val="11"/>
    <w:rPr>
      <w:sz w:val="24"/>
      <w:szCs w:val="24"/>
    </w:rPr>
  </w:style>
  <w:style w:type="paragraph" w:styleId="784">
    <w:name w:val="Quote"/>
    <w:basedOn w:val="933"/>
    <w:next w:val="933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3"/>
    <w:next w:val="933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6"/>
    <w:link w:val="952"/>
    <w:uiPriority w:val="99"/>
  </w:style>
  <w:style w:type="character" w:styleId="789">
    <w:name w:val="Footer Char"/>
    <w:basedOn w:val="936"/>
    <w:link w:val="951"/>
    <w:uiPriority w:val="99"/>
  </w:style>
  <w:style w:type="character" w:styleId="790">
    <w:name w:val="Caption Char"/>
    <w:basedOn w:val="945"/>
    <w:link w:val="951"/>
    <w:uiPriority w:val="99"/>
  </w:style>
  <w:style w:type="table" w:styleId="791">
    <w:name w:val="Table Grid Light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90">
    <w:name w:val="List Table 7 Colorful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1">
    <w:name w:val="List Table 7 Colorful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2">
    <w:name w:val="List Table 7 Colorful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3">
    <w:name w:val="List Table 7 Colorful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94">
    <w:name w:val="List Table 7 Colorful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5">
    <w:name w:val="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7">
    <w:name w:val="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1">
    <w:name w:val="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 &amp; Lined - Accent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04">
    <w:name w:val="Bordered &amp; Lined - Accent 2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5">
    <w:name w:val="Bordered &amp; Lined - Accent 3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6">
    <w:name w:val="Bordered &amp; Lined - Accent 4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7">
    <w:name w:val="Bordered &amp; Lined - Accent 5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08">
    <w:name w:val="Bordered &amp; Lined - Accent 6"/>
    <w:basedOn w:val="9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9">
    <w:name w:val="Bordered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6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6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934">
    <w:name w:val="Heading 1"/>
    <w:basedOn w:val="933"/>
    <w:next w:val="933"/>
    <w:link w:val="937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935">
    <w:name w:val="Heading 3"/>
    <w:basedOn w:val="933"/>
    <w:next w:val="933"/>
    <w:link w:val="938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36" w:default="1">
    <w:name w:val="Default Paragraph Font"/>
    <w:uiPriority w:val="1"/>
    <w:semiHidden/>
    <w:unhideWhenUsed/>
    <w:qFormat/>
  </w:style>
  <w:style w:type="character" w:styleId="937" w:customStyle="1">
    <w:name w:val="Заголовок 1 Знак"/>
    <w:basedOn w:val="936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38" w:customStyle="1">
    <w:name w:val="Заголовок 3 Знак"/>
    <w:basedOn w:val="936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39" w:customStyle="1">
    <w:name w:val="Текст выноски Знак"/>
    <w:basedOn w:val="936"/>
    <w:link w:val="948"/>
    <w:uiPriority w:val="99"/>
    <w:semiHidden/>
    <w:qFormat/>
    <w:rPr>
      <w:rFonts w:ascii="Segoe UI" w:hAnsi="Segoe UI" w:cs="Segoe UI"/>
      <w:sz w:val="18"/>
      <w:szCs w:val="18"/>
    </w:rPr>
  </w:style>
  <w:style w:type="character" w:styleId="940">
    <w:name w:val="Hyperlink"/>
    <w:basedOn w:val="936"/>
    <w:rPr>
      <w:color w:val="0000ff" w:themeColor="hyperlink"/>
      <w:u w:val="single"/>
    </w:rPr>
  </w:style>
  <w:style w:type="character" w:styleId="941">
    <w:name w:val="Line Number"/>
  </w:style>
  <w:style w:type="paragraph" w:styleId="942">
    <w:name w:val="Заголовок"/>
    <w:basedOn w:val="933"/>
    <w:next w:val="943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43">
    <w:name w:val="Body Text"/>
    <w:basedOn w:val="933"/>
    <w:pPr>
      <w:spacing w:before="0" w:after="140" w:line="276" w:lineRule="auto"/>
    </w:pPr>
  </w:style>
  <w:style w:type="paragraph" w:styleId="944">
    <w:name w:val="List"/>
    <w:basedOn w:val="943"/>
    <w:rPr>
      <w:rFonts w:cs="Lucida Sans"/>
    </w:rPr>
  </w:style>
  <w:style w:type="paragraph" w:styleId="945">
    <w:name w:val="Caption"/>
    <w:basedOn w:val="933"/>
    <w:link w:val="790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46">
    <w:name w:val="Указатель"/>
    <w:basedOn w:val="933"/>
    <w:qFormat/>
    <w:pPr>
      <w:suppressLineNumbers/>
    </w:pPr>
    <w:rPr>
      <w:rFonts w:cs="Lucida Sans"/>
    </w:rPr>
  </w:style>
  <w:style w:type="paragraph" w:styleId="947">
    <w:name w:val="List Paragraph"/>
    <w:basedOn w:val="933"/>
    <w:uiPriority w:val="34"/>
    <w:qFormat/>
    <w:pPr>
      <w:contextualSpacing/>
      <w:ind w:left="720" w:firstLine="0"/>
      <w:spacing w:before="0" w:after="160"/>
    </w:pPr>
  </w:style>
  <w:style w:type="paragraph" w:styleId="948">
    <w:name w:val="Balloon Text"/>
    <w:basedOn w:val="933"/>
    <w:link w:val="939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49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50">
    <w:name w:val="Колонтитул"/>
    <w:basedOn w:val="933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51">
    <w:name w:val="Footer"/>
    <w:basedOn w:val="950"/>
    <w:pPr>
      <w:suppressLineNumbers/>
    </w:pPr>
  </w:style>
  <w:style w:type="paragraph" w:styleId="952">
    <w:name w:val="Header"/>
    <w:basedOn w:val="950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53" w:default="1">
    <w:name w:val="No List"/>
    <w:uiPriority w:val="99"/>
    <w:semiHidden/>
    <w:unhideWhenUsed/>
    <w:qFormat/>
  </w:style>
  <w:style w:type="table" w:styleId="9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Table Grid"/>
    <w:basedOn w:val="9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6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57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92</cp:revision>
  <dcterms:modified xsi:type="dcterms:W3CDTF">2025-03-11T11:43:52Z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