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 </w:t>
      </w:r>
    </w:p>
    <w:p w14:paraId="04000000">
      <w:pPr>
        <w:widowControl w:val="1"/>
        <w:spacing w:after="0" w:line="240" w:lineRule="auto"/>
        <w:ind w:hanging="5387" w:left="4678"/>
        <w:jc w:val="right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УТВЕРЖДЕН</w:t>
      </w:r>
    </w:p>
    <w:p w14:paraId="06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постановлением </w:t>
      </w:r>
      <w:r>
        <w:rPr>
          <w:rStyle w:val="Style_2_ch"/>
          <w:rFonts w:ascii="Times New Roman" w:hAnsi="Times New Roman"/>
          <w:sz w:val="28"/>
        </w:rPr>
        <w:t>администрации</w:t>
      </w:r>
    </w:p>
    <w:p w14:paraId="07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муниципального образования</w:t>
      </w:r>
    </w:p>
    <w:p w14:paraId="08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Ленинградский муниципальный</w:t>
      </w:r>
    </w:p>
    <w:p w14:paraId="09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округ Краснодарского края</w:t>
      </w:r>
    </w:p>
    <w:p w14:paraId="0A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от ___________ № ________</w:t>
      </w:r>
      <w:r>
        <w:rPr>
          <w:rStyle w:val="Style_2_ch"/>
          <w:rFonts w:ascii="Times New Roman" w:hAnsi="Times New Roman"/>
          <w:sz w:val="28"/>
        </w:rPr>
        <w:t xml:space="preserve">  </w:t>
      </w:r>
    </w:p>
    <w:p w14:paraId="0B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Доклад 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результатах обобщения правоприменительной практики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по осуществлению муниципального земельного контроля </w:t>
      </w: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на территории муниципального образования Ленинградский 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муниципальный  </w:t>
      </w:r>
      <w:r>
        <w:rPr>
          <w:rFonts w:ascii="Times New Roman" w:hAnsi="Times New Roman"/>
          <w:b w:val="1"/>
          <w:color w:val="000000"/>
          <w:sz w:val="28"/>
        </w:rPr>
        <w:t>округ Краснодарского края</w:t>
      </w: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за 202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 xml:space="preserve"> год</w:t>
      </w:r>
    </w:p>
    <w:p w14:paraId="13000000">
      <w:pPr>
        <w:widowControl w:val="1"/>
        <w:spacing w:after="200" w:line="0" w:lineRule="atLeast"/>
        <w:ind w:firstLine="851"/>
        <w:jc w:val="both"/>
        <w:rPr>
          <w:rFonts w:ascii="Times New Roman" w:hAnsi="Times New Roman"/>
          <w:color w:val="000000"/>
          <w:sz w:val="24"/>
        </w:rPr>
      </w:pPr>
    </w:p>
    <w:p w14:paraId="14000000">
      <w:pPr>
        <w:pStyle w:val="Style_2"/>
        <w:widowControl w:val="0"/>
        <w:spacing w:after="0" w:line="23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Обобщение правоприменительной практики осуществления муниципального земельного контроля на территории Ленинградского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Style w:val="Style_2_ch"/>
          <w:rFonts w:ascii="Times New Roman" w:hAnsi="Times New Roman"/>
          <w:color w:val="000000"/>
          <w:sz w:val="28"/>
        </w:rPr>
        <w:t>округа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(далее по тексту – муниципальный земельный контроль) </w:t>
      </w:r>
      <w:r>
        <w:rPr>
          <w:rStyle w:val="Style_2_ch"/>
          <w:rFonts w:ascii="Times New Roman" w:hAnsi="Times New Roman"/>
          <w:color w:val="000000"/>
          <w:sz w:val="28"/>
        </w:rPr>
        <w:t>за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подготовлено в соответствии со статьей 47 Федерального закона от 31 июля 2020 г. № 248–ФЗ «О государственном контроле (надзоре) и муниципальном контроле в Российской Федерации», </w:t>
      </w:r>
      <w:r>
        <w:rPr>
          <w:rStyle w:val="Style_2_ch"/>
          <w:rFonts w:ascii="Times New Roman" w:hAnsi="Times New Roman"/>
          <w:color w:val="000000"/>
          <w:sz w:val="28"/>
        </w:rPr>
        <w:t>решением Совета муниципального образования Ленинградский муниципальный округ Краснодарского края от 24 апреля 2025 г. № 57 «Об утверждении Положения о муниципальном земельном контроле в границах муниципального образования Ленинградский муниципальный округ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Краснодарского края»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15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Анализ правоприменительной практики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оказания воздействия </w:t>
      </w:r>
      <w:r>
        <w:rPr>
          <w:rStyle w:val="Style_2_ch"/>
          <w:rFonts w:ascii="Times New Roman" w:hAnsi="Times New Roman"/>
          <w:color w:val="000000"/>
          <w:sz w:val="28"/>
        </w:rPr>
        <w:t>по части 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статьи 8.8 </w:t>
      </w:r>
      <w:r>
        <w:rPr>
          <w:rStyle w:val="Style_2_ch"/>
          <w:rFonts w:ascii="Times New Roman" w:hAnsi="Times New Roman"/>
          <w:color w:val="000000"/>
          <w:sz w:val="28"/>
        </w:rPr>
        <w:t>КоАП РФ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на участников земельных отношений, в целях недопущения совершения правонарушений. </w:t>
      </w:r>
    </w:p>
    <w:p w14:paraId="16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Муниципальный земельный контроль в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 проводился в соответствии </w:t>
      </w:r>
      <w:r>
        <w:rPr>
          <w:rStyle w:val="Style_2_ch"/>
          <w:rFonts w:ascii="Times New Roman" w:hAnsi="Times New Roman"/>
          <w:color w:val="000000"/>
          <w:sz w:val="28"/>
        </w:rPr>
        <w:t>с</w:t>
      </w:r>
      <w:r>
        <w:rPr>
          <w:rStyle w:val="Style_2_ch"/>
          <w:rFonts w:ascii="Times New Roman" w:hAnsi="Times New Roman"/>
          <w:color w:val="000000"/>
          <w:sz w:val="28"/>
        </w:rPr>
        <w:t>:</w:t>
      </w:r>
    </w:p>
    <w:p w14:paraId="17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-Земельным кодексом Российской Федерации;</w:t>
      </w:r>
    </w:p>
    <w:p w14:paraId="18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-Кодексом Российской Федерации об административных правонарушениях;</w:t>
      </w:r>
    </w:p>
    <w:p w14:paraId="19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-Федеральным законом от 31 июля 2020 г. 248-ФЗ «О государственном контроле (надзоре) и муниципальном контроле в Российской Федерации»;</w:t>
      </w:r>
    </w:p>
    <w:p w14:paraId="1A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-Постановлением Правительства Российской Федерации от 10 марта 2022 г. №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336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«Об особенностях организации и осуществления государственного контроля (надзора), муниципального контроля;</w:t>
      </w:r>
    </w:p>
    <w:p w14:paraId="1B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-решением </w:t>
      </w:r>
      <w:r>
        <w:rPr>
          <w:rStyle w:val="Style_2_ch"/>
          <w:rFonts w:ascii="Times New Roman" w:hAnsi="Times New Roman"/>
          <w:color w:val="000000"/>
          <w:sz w:val="28"/>
        </w:rPr>
        <w:t>Совета муниципального образования Ленинградский муниципальный округ Краснодарского края от 24 апреля 2025 г. № 57 «Об утверждении Положения о муниципальном земельном контроле в границах муниципального образования Ленинградский муниципальный округ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Краснодарского края»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1C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-постановлением администрации муниципального образования  Ленинградский район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 </w:t>
      </w:r>
      <w:r>
        <w:rPr>
          <w:rStyle w:val="Style_2_ch"/>
          <w:rFonts w:ascii="Times New Roman" w:hAnsi="Times New Roman"/>
          <w:color w:val="000000"/>
          <w:sz w:val="28"/>
        </w:rPr>
        <w:t>9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декабря 202</w:t>
      </w: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г. № 1341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муниципальный округ Краснодарского края на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год»;</w:t>
      </w:r>
    </w:p>
    <w:p w14:paraId="1D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-постановлением администрации муниципального образования  Ленинградский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муниципальный округ Краснодарского края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 4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июля 2025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г. № 817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 внесении изменений в </w:t>
      </w:r>
      <w:r>
        <w:rPr>
          <w:rStyle w:val="Style_2_ch"/>
          <w:rFonts w:ascii="Times New Roman" w:hAnsi="Times New Roman"/>
          <w:color w:val="000000"/>
          <w:sz w:val="28"/>
        </w:rPr>
        <w:t>постановление администрации муниципального образования  Ленинградский район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 </w:t>
      </w:r>
      <w:r>
        <w:rPr>
          <w:rStyle w:val="Style_2_ch"/>
          <w:rFonts w:ascii="Times New Roman" w:hAnsi="Times New Roman"/>
          <w:color w:val="000000"/>
          <w:sz w:val="28"/>
        </w:rPr>
        <w:t>9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декабря 202</w:t>
      </w: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г.       № 1341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Ленинградский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муниципальный округ Краснодарского края на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</w:t>
      </w:r>
      <w:r>
        <w:rPr>
          <w:rStyle w:val="Style_2_ch"/>
          <w:rFonts w:ascii="Times New Roman" w:hAnsi="Times New Roman"/>
          <w:color w:val="000000"/>
          <w:sz w:val="28"/>
        </w:rPr>
        <w:t xml:space="preserve">»; </w:t>
      </w:r>
      <w:r>
        <w:rPr>
          <w:rStyle w:val="Style_2_ch"/>
          <w:rFonts w:ascii="Times New Roman" w:hAnsi="Times New Roman"/>
          <w:color w:val="000000"/>
          <w:sz w:val="28"/>
        </w:rPr>
        <w:t>(далее - Программа профилактики)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1E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Согласно Положению, муниципальный земельный контроль в 2025 году осуществлялся без проведения плановых контрольных (надзорных) мероприятий. </w:t>
      </w:r>
    </w:p>
    <w:p w14:paraId="1F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В связи с введением моратория на проведение плановых и внеплановых контрольных (надзорных) мероприятий, в соответствии с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 течение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2025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года внеплановые контрольные (надзорные) мероприятия с взаимодействием с контролируемым лицом не проводились. </w:t>
      </w:r>
    </w:p>
    <w:p w14:paraId="20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В соответствии с частью 2 статьи 57, стать</w:t>
      </w:r>
      <w:r>
        <w:rPr>
          <w:rStyle w:val="Style_2_ch"/>
          <w:rFonts w:ascii="Times New Roman" w:hAnsi="Times New Roman"/>
          <w:color w:val="000000"/>
          <w:sz w:val="28"/>
        </w:rPr>
        <w:t>е</w:t>
      </w:r>
      <w:r>
        <w:rPr>
          <w:rStyle w:val="Style_2_ch"/>
          <w:rFonts w:ascii="Times New Roman" w:hAnsi="Times New Roman"/>
          <w:color w:val="000000"/>
          <w:sz w:val="28"/>
        </w:rPr>
        <w:t>й 75 Федерального закона от 31 июля 2020 г. № 248-ФЗ «О государственном контроле (надзоре) и муниципальном контроле в Российской Федерации» в течение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года проведено 9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кон</w:t>
      </w:r>
      <w:r>
        <w:rPr>
          <w:rStyle w:val="Style_2_ch"/>
          <w:rFonts w:ascii="Times New Roman" w:hAnsi="Times New Roman"/>
          <w:color w:val="000000"/>
          <w:sz w:val="28"/>
        </w:rPr>
        <w:t>трольных мероприятий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без взаимодействия с контролируемыми лицами в форме выездного обследования (далее – выездное обследование) и 73 выездных осмотра земельных участков. </w:t>
      </w:r>
    </w:p>
    <w:p w14:paraId="21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</w:t>
      </w:r>
      <w:r>
        <w:rPr>
          <w:rStyle w:val="Style_2_ch"/>
          <w:rFonts w:ascii="Times New Roman" w:hAnsi="Times New Roman"/>
          <w:color w:val="000000"/>
          <w:sz w:val="28"/>
        </w:rPr>
        <w:t>о 8 выездным обследованиям без взаимодействия выявлены cледующие  нарушения требований земельного законодательства:</w:t>
      </w:r>
    </w:p>
    <w:p w14:paraId="22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с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"https://internet.garant.ru/document/redirect/58200423/102"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амовольное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val="000000"/>
          <w:sz w:val="28"/>
        </w:rPr>
        <w:t xml:space="preserve"> занятие земельного участка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(его части)</w:t>
      </w:r>
      <w:r>
        <w:rPr>
          <w:rStyle w:val="Style_2_ch"/>
          <w:rFonts w:ascii="Times New Roman" w:hAnsi="Times New Roman"/>
          <w:color w:val="000000"/>
          <w:sz w:val="28"/>
        </w:rPr>
        <w:t>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 том числе использование земельного участка (его части) лицом, не имеющим предус</w:t>
      </w:r>
      <w:r>
        <w:rPr>
          <w:rStyle w:val="Style_2_ch"/>
          <w:rFonts w:ascii="Times New Roman" w:hAnsi="Times New Roman"/>
          <w:color w:val="000000"/>
          <w:sz w:val="28"/>
        </w:rPr>
        <w:t>мотренных законодательством Российской Федерации прав на земельный участок</w:t>
      </w:r>
      <w:r>
        <w:rPr>
          <w:rStyle w:val="Style_2_ch"/>
          <w:rFonts w:ascii="Times New Roman" w:hAnsi="Times New Roman"/>
          <w:color w:val="000000"/>
          <w:sz w:val="28"/>
        </w:rPr>
        <w:t>, вопреки требованиям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статьи 42 Земельного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кодекса </w:t>
      </w:r>
      <w:r>
        <w:rPr>
          <w:rStyle w:val="Style_2_ch"/>
          <w:rFonts w:ascii="Times New Roman" w:hAnsi="Times New Roman"/>
          <w:color w:val="000000"/>
          <w:sz w:val="28"/>
        </w:rPr>
        <w:t>Российской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Федерации.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целях привлечения  собственников земельных участков к административной ответственности </w:t>
      </w:r>
      <w:r>
        <w:rPr>
          <w:rStyle w:val="Style_2_ch"/>
          <w:rFonts w:ascii="Times New Roman" w:hAnsi="Times New Roman"/>
          <w:color w:val="000000"/>
          <w:sz w:val="28"/>
        </w:rPr>
        <w:t>по части 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статьи 7.1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КоАП РФ, </w:t>
      </w:r>
      <w:r>
        <w:rPr>
          <w:rStyle w:val="Style_2_ch"/>
          <w:rFonts w:ascii="Times New Roman" w:hAnsi="Times New Roman"/>
          <w:color w:val="000000"/>
          <w:sz w:val="28"/>
        </w:rPr>
        <w:t>для принятия мер реагирования,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материалы направлены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Межмуниципальный отдел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 Ленинградскому, Кущевскому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 Староминскому районам Управления Федеральной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регистрационной службы </w:t>
      </w:r>
      <w:r>
        <w:rPr>
          <w:rStyle w:val="Style_2_ch"/>
          <w:rFonts w:ascii="Times New Roman" w:hAnsi="Times New Roman"/>
          <w:color w:val="000000"/>
          <w:sz w:val="28"/>
        </w:rPr>
        <w:t>по Краснодарскому краю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23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несоответствие фактического использования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земельного участка </w:t>
      </w:r>
      <w:r>
        <w:rPr>
          <w:rStyle w:val="Style_2_ch"/>
          <w:rFonts w:ascii="Times New Roman" w:hAnsi="Times New Roman"/>
          <w:color w:val="000000"/>
          <w:sz w:val="28"/>
        </w:rPr>
        <w:t>виду разрешенного использования, указанному в документах</w:t>
      </w:r>
      <w:r>
        <w:rPr>
          <w:rStyle w:val="Style_2_ch"/>
          <w:rFonts w:ascii="Times New Roman" w:hAnsi="Times New Roman"/>
          <w:color w:val="000000"/>
          <w:sz w:val="28"/>
        </w:rPr>
        <w:t xml:space="preserve">.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целях привлечения  собственников земельных участков к административной ответственности </w:t>
      </w:r>
      <w:r>
        <w:rPr>
          <w:rStyle w:val="Style_2_ch"/>
          <w:rFonts w:ascii="Times New Roman" w:hAnsi="Times New Roman"/>
          <w:color w:val="000000"/>
          <w:sz w:val="28"/>
        </w:rPr>
        <w:t>по части 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статьи 8.8 </w:t>
      </w:r>
      <w:r>
        <w:rPr>
          <w:rStyle w:val="Style_2_ch"/>
          <w:rFonts w:ascii="Times New Roman" w:hAnsi="Times New Roman"/>
          <w:color w:val="000000"/>
          <w:sz w:val="28"/>
        </w:rPr>
        <w:t>КоАП РФ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t>для принятия мер реагирования,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материалы направлены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в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Межмуниципальный отдел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 Ленинградскому, Кущевскому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 Староминскому районам Управления Федеральной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регистрационной службы </w:t>
      </w:r>
      <w:r>
        <w:rPr>
          <w:rStyle w:val="Style_2_ch"/>
          <w:rFonts w:ascii="Times New Roman" w:hAnsi="Times New Roman"/>
          <w:color w:val="000000"/>
          <w:sz w:val="28"/>
        </w:rPr>
        <w:t>по Краснодарскому краю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24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На 1 земельном участке нарушений земельного законодательства не выявлено.</w:t>
      </w:r>
    </w:p>
    <w:p w14:paraId="25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В 2025 году  плановые контрольные мероприятия с взаимодействием с контролируемым лицом, подлежащие согласованию с прокуратурой Ленинградского района, не проводились. </w:t>
      </w:r>
    </w:p>
    <w:p w14:paraId="26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В целях стимулирования добросовестного соблюдения обязательных требований юридическими лицами, индивидуальными предпринимателями и </w:t>
      </w:r>
      <w:r>
        <w:rPr>
          <w:rStyle w:val="Style_2_ch"/>
          <w:rFonts w:ascii="Times New Roman" w:hAnsi="Times New Roman"/>
          <w:color w:val="000000"/>
          <w:sz w:val="28"/>
        </w:rPr>
        <w:t>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 и способов их соблюдения в 2</w:t>
      </w:r>
      <w:r>
        <w:rPr>
          <w:rStyle w:val="Style_2_ch"/>
          <w:rFonts w:ascii="Times New Roman" w:hAnsi="Times New Roman"/>
          <w:color w:val="000000"/>
          <w:sz w:val="28"/>
        </w:rPr>
        <w:t>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году, администрацией Ленинград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ского </w:t>
      </w:r>
      <w:r>
        <w:rPr>
          <w:rStyle w:val="Style_2_ch"/>
          <w:rFonts w:ascii="Times New Roman" w:hAnsi="Times New Roman"/>
          <w:color w:val="000000"/>
          <w:sz w:val="28"/>
        </w:rPr>
        <w:t>муниципального округа осуществлялись профилактические мероприятия, согласно Программе профилактики, которые являются приоритетным по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отношению к проведению контрольных мероприятий при осуществлении муниципального земельного контроля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а именно: </w:t>
      </w:r>
      <w:r>
        <w:rPr>
          <w:rStyle w:val="Style_2_ch"/>
          <w:rFonts w:ascii="Times New Roman" w:hAnsi="Times New Roman"/>
          <w:color w:val="000000"/>
          <w:sz w:val="28"/>
        </w:rPr>
        <w:t>информирование,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обобщени</w:t>
      </w:r>
      <w:r>
        <w:rPr>
          <w:rStyle w:val="Style_2_ch"/>
          <w:rFonts w:ascii="Times New Roman" w:hAnsi="Times New Roman"/>
          <w:color w:val="000000"/>
          <w:sz w:val="28"/>
        </w:rPr>
        <w:t>е правоприменительной практики,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консультирование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27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При осуществлении муниципального земельного контроля в 2025 году проведение профилактических мероприятий, направленных на снижение риска причинения вреда (ущерба), являлось приоритетным по отношению к проведению контрольных (надзорных) мероприятий.</w:t>
      </w:r>
    </w:p>
    <w:p w14:paraId="28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За 2025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проведено 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консультирований</w:t>
      </w:r>
      <w:r>
        <w:rPr>
          <w:rStyle w:val="Style_2_ch"/>
          <w:rFonts w:ascii="Times New Roman" w:hAnsi="Times New Roman"/>
          <w:color w:val="000000"/>
          <w:sz w:val="28"/>
        </w:rPr>
        <w:t>, 7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информирований. Подготовлен и опубликован на официальном сайте администрации муниципального образования Ленинградский муниципальный округ Краснодарского края в разделе «Земельный контроль» </w:t>
      </w:r>
      <w:r>
        <w:rPr>
          <w:rStyle w:val="Style_2_ch"/>
          <w:rFonts w:ascii="Tinos" w:hAnsi="Tinos"/>
          <w:color w:val="000000"/>
          <w:sz w:val="28"/>
        </w:rPr>
        <w:t>(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</w:rPr>
        <w:t>https://adminlenkub.ru/item/1822869)</w:t>
      </w:r>
      <w:r>
        <w:rPr>
          <w:rStyle w:val="Style_2_ch"/>
          <w:rFonts w:ascii="Tinos" w:hAnsi="Tinos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Доклад о муниципальном земельном контроле за 2025 год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29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Консультирование населения, информирование физических и юридических лиц, индивидуальных предпринимателей об изменениях в законодательстве по вопросам организации и осуществления муниципального земельного контроля ведётся на постоянной основе. Письменные обращения от физических и юридических лиц рассматривались в соответствии с Федеральным законом от 02.05.2006 г. № 59-ФЗ «О порядке рассмотрения обращений граждан Российской Федерации».</w:t>
      </w:r>
    </w:p>
    <w:p w14:paraId="2A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земле, как природному объекту; осуществлять мероприятия по охране земель, лесов, водных объектов и других природных ресурсов, в том числе меры пожарной безопасности;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 не допускать загрязнение, захламление, деградацию и ухудшение плодородия почв на землях соответствующих категорий.</w:t>
      </w:r>
    </w:p>
    <w:p w14:paraId="2B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В целях недопущения указанных нарушений, во избежание наложения штрафных санкций и иной предусмотренной законом ответственности – администрация муниципального образования Ленинградский муниципальный округ настоятельно рекомендует землепользователям, землевладельцам земельных участков, расположенных на территории муниципального образования осуществлять пользование принадлежащими им земельными участками в соответствии с действующим законодательством, в том числе использовать земельные участки строго в пределах их границ, использовать по целевому назначению, не наносить вред окружающей среде, земельному участку.</w:t>
      </w:r>
    </w:p>
    <w:p w14:paraId="2C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Приобретая земельный участок, собственник должен удостовериться в законности его использования, в том числе, в размещении ограждений, зданий и сооружений в установленных границах. Привлечение к административной ответственности осуществляется за фактическое использование земельного участка, т.е. доводы землепользователей о том, что земельный участок приобретен уже с установленным забором (ограждением) в существующих границах не является достаточной доказательной базой для оспаривания факта правонарушения и основанием для отмены наказания.</w:t>
      </w:r>
    </w:p>
    <w:p w14:paraId="2D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Информирование по вопросам соблюдения обязательных требований осуществляется администрацией муниципального образования Ленинградский муниципальный округ посредством размещения соответствующих сведений на официальном сайте администрации муниципального образования Ленинградский район в информационно-телекоммуникационной сети «Интернет».</w:t>
      </w:r>
    </w:p>
    <w:p w14:paraId="2E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На 2026 год разработана и утверждена нормативно-правовым актом администрации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Ленинградский муниципальный округ Краснодарского края.</w:t>
      </w:r>
    </w:p>
    <w:p w14:paraId="2F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С учетом актуальных требований законодательства в сфере контрольной деятельност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 в части ее </w:t>
      </w:r>
      <w:r>
        <w:rPr>
          <w:rStyle w:val="Style_2_ch"/>
          <w:rFonts w:ascii="Times New Roman" w:hAnsi="Times New Roman"/>
          <w:color w:val="000000"/>
          <w:sz w:val="28"/>
        </w:rPr>
        <w:t>цифровизации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в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 осуществлялось (и будет продолжаться на постоянной основе в дальнейшем, с учетом требований действующего законодательства) внесение предусмотренных сведений в информационные системы, созданные в целях реализации положений Федерального закона № 248-ФЗ:</w:t>
      </w:r>
    </w:p>
    <w:p w14:paraId="30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 ЕРВК (единый реестр видов контроля);</w:t>
      </w:r>
    </w:p>
    <w:p w14:paraId="31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- ЕРКНМ (единый реестр контрольно-надзорных мероприятий)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32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Типичными нарушениями при осуществлении муниципального земельного контроля являются нарушения земельного законодательства, ответственность за которых предусмотрена статьей 8.8 </w:t>
      </w:r>
      <w:r>
        <w:rPr>
          <w:rStyle w:val="Style_2_ch"/>
          <w:rFonts w:ascii="Times New Roman" w:hAnsi="Times New Roman"/>
          <w:color w:val="000000"/>
          <w:sz w:val="28"/>
        </w:rPr>
        <w:t>Кодекса Российской Федерации об административных правонарушениях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(в части использования земель не по целевому назначению, неиспользования земельного участка, предназначенного для сельскохозяйственного производства либо жилищного или иного строительства, в указанных целях в течение срока, установленного Федеральным Законом).</w:t>
      </w:r>
    </w:p>
    <w:p w14:paraId="3300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Жалоб на решение, действия (бездействие) должностных лиц при осуществлении муниципального земельного контроля, в рамках досудебного обжалования, в 202</w:t>
      </w: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году не поступало.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</w:t>
      </w:r>
      <w:r>
        <w:rPr>
          <w:rFonts w:ascii="Times New Roman" w:hAnsi="Times New Roman"/>
          <w:sz w:val="28"/>
        </w:rPr>
        <w:t>авы Ленинградского</w:t>
      </w:r>
    </w:p>
    <w:p w14:paraId="3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</w:t>
      </w:r>
    </w:p>
    <w:p w14:paraId="3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  <w:r>
        <w:rPr>
          <w:rFonts w:ascii="Times New Roman" w:hAnsi="Times New Roman"/>
          <w:sz w:val="28"/>
        </w:rPr>
        <w:t>имущественных</w:t>
      </w:r>
    </w:p>
    <w:p w14:paraId="3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</w:t>
      </w:r>
      <w:r>
        <w:rPr>
          <w:rFonts w:ascii="Times New Roman" w:hAnsi="Times New Roman"/>
          <w:sz w:val="28"/>
        </w:rPr>
        <w:t xml:space="preserve">администрации                        </w:t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>Р.Г. Тоцкая</w:t>
      </w:r>
    </w:p>
    <w:p w14:paraId="3A000000">
      <w:pPr>
        <w:pStyle w:val="Style_2"/>
        <w:widowControl w:val="1"/>
        <w:spacing w:after="224" w:before="0"/>
        <w:ind w:firstLine="850" w:left="0" w:right="0"/>
        <w:jc w:val="both"/>
        <w:rPr>
          <w:rFonts w:ascii="Montserrat" w:hAnsi="Montserrat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Montserrat" w:hAnsi="Montserrat"/>
          <w:b w:val="0"/>
          <w:i w:val="0"/>
          <w:caps w:val="0"/>
          <w:color w:val="000000"/>
          <w:spacing w:val="0"/>
          <w:sz w:val="24"/>
          <w:highlight w:val="white"/>
        </w:rPr>
        <w:br/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pStyle w:val="Style_2"/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tabs>
          <w:tab w:leader="none" w:pos="7797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3E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3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5E000000">
      <w:pPr>
        <w:pStyle w:val="Style_3"/>
        <w:widowControl w:val="1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2977514</wp:posOffset>
              </wp:positionH>
              <wp:positionV relativeFrom="page">
                <wp:posOffset>409573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head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2_ch"/>
    <w:link w:val="Style_10"/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themeColor="hyperlink" w:val="0563C1"/>
      <w:u w:val="single"/>
    </w:rPr>
  </w:style>
  <w:style w:styleId="Style_15_ch" w:type="character">
    <w:name w:val="Hyperlink"/>
    <w:basedOn w:val="Style_16_ch"/>
    <w:link w:val="Style_15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/>
    </w:pPr>
    <w:rPr>
      <w:rFonts w:ascii="Calibri" w:hAnsi="Calibri"/>
    </w:rPr>
  </w:style>
  <w:style w:styleId="Style_22_ch" w:type="character">
    <w:name w:val="ConsPlusNormal"/>
    <w:link w:val="Style_22"/>
    <w:rPr>
      <w:rFonts w:ascii="Calibri" w:hAnsi="Calibri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2024-10-03T06:09:00Z</dcterms:created>
  <dcterms:modified xsi:type="dcterms:W3CDTF">2026-03-26T13:04:50Z</dcterms:modified>
</cp:coreProperties>
</file>