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left="1063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</w:r>
      <w:r/>
    </w:p>
    <w:p>
      <w:pPr>
        <w:pStyle w:val="847"/>
        <w:ind w:left="1049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47"/>
        <w:ind w:left="10632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УТВЕРЖДЕН</w:t>
      </w:r>
      <w:r>
        <w:rPr>
          <w:rFonts w:ascii="Times New Roman" w:hAnsi="Times New Roman"/>
          <w:b/>
        </w:rPr>
      </w:r>
      <w:r/>
    </w:p>
    <w:p>
      <w:pPr>
        <w:pStyle w:val="847"/>
        <w:ind w:left="10632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</w:t>
      </w:r>
      <w:r>
        <w:rPr>
          <w:rFonts w:ascii="Times New Roman" w:hAnsi="Times New Roman"/>
          <w:sz w:val="28"/>
        </w:rPr>
        <w:t xml:space="preserve"> администрации </w:t>
      </w:r>
      <w:r/>
    </w:p>
    <w:p>
      <w:pPr>
        <w:pStyle w:val="847"/>
        <w:ind w:left="10632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/>
    </w:p>
    <w:p>
      <w:pPr>
        <w:pStyle w:val="847"/>
        <w:ind w:left="10632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Ленинградский район</w:t>
      </w:r>
      <w:r/>
    </w:p>
    <w:p>
      <w:pPr>
        <w:pStyle w:val="854"/>
        <w:ind w:left="10632" w:firstLine="0"/>
        <w:jc w:val="both"/>
        <w:rPr>
          <w:b w:val="0"/>
        </w:rPr>
      </w:pPr>
      <w:r>
        <w:rPr>
          <w:b w:val="0"/>
        </w:rPr>
        <w:t xml:space="preserve">от </w:t>
      </w:r>
      <w:r>
        <w:rPr>
          <w:b w:val="0"/>
        </w:rPr>
        <w:t xml:space="preserve">27.11.2023  </w:t>
      </w:r>
      <w:r>
        <w:rPr>
          <w:b w:val="0"/>
        </w:rPr>
        <w:t xml:space="preserve"> № </w:t>
      </w:r>
      <w:r>
        <w:rPr>
          <w:b w:val="0"/>
        </w:rPr>
        <w:t xml:space="preserve"> 1366</w:t>
      </w:r>
      <w:r>
        <w:rPr>
          <w:b w:val="0"/>
        </w:rPr>
      </w:r>
      <w:r/>
    </w:p>
    <w:p>
      <w:pPr>
        <w:pStyle w:val="847"/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работодателей, расположенных на территории муниципального образования Ленинградский район, которым устанавливаю</w:t>
      </w:r>
      <w:r>
        <w:rPr>
          <w:rFonts w:ascii="Times New Roman" w:hAnsi="Times New Roman"/>
          <w:sz w:val="28"/>
        </w:rPr>
        <w:t xml:space="preserve">т</w:t>
      </w:r>
      <w:r>
        <w:rPr>
          <w:rFonts w:ascii="Times New Roman" w:hAnsi="Times New Roman"/>
          <w:sz w:val="28"/>
        </w:rPr>
        <w:t xml:space="preserve">ся  </w:t>
      </w:r>
      <w:r>
        <w:rPr>
          <w:rFonts w:ascii="Times New Roman" w:hAnsi="Times New Roman"/>
          <w:sz w:val="28"/>
          <w:szCs w:val="28"/>
        </w:rPr>
        <w:t xml:space="preserve">квоты для приема на рабочие места для приема на работу молодежи и иных граждан, испытывающих трудности в поиске работы</w:t>
      </w:r>
      <w:r>
        <w:rPr>
          <w:rFonts w:ascii="Times New Roman" w:hAnsi="Times New Roman"/>
          <w:sz w:val="28"/>
        </w:rPr>
        <w:t xml:space="preserve">, кроме инвал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z w:val="28"/>
        </w:rPr>
        <w:t xml:space="preserve">дов, на 2024 год</w:t>
      </w:r>
      <w:r/>
    </w:p>
    <w:p>
      <w:pPr>
        <w:pStyle w:val="84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5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6377"/>
        <w:gridCol w:w="1417"/>
        <w:gridCol w:w="1701"/>
        <w:gridCol w:w="5106"/>
      </w:tblGrid>
      <w:tr>
        <w:trPr>
          <w:trHeight w:val="1148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работодателя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(чел.)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работников, условия труда которых отнесены к вредным и (или) опасным условиям труда (чел.)</w:t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приема на работу молодежи (несовершенн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олетние в возрасте от 14 до 18 лет, граждане в возрасте от 18 до 25 лет, имеющие среднее профессиональное образование и ищущие работу впервые); лиц, освобожденных из учреждений, исполняющих наказание в виде лишения свободы, - до погашения судимости; гражда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н, прошедших курс лечения и реабилитации от наркомании и (или) алкоголизма; одиноких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«Ленинградское»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«Трудовое»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«Ленинградский технический колледж»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Краснодарского края «Ленинградский дом-интернат для престарелых и инвалидов»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казенное учреждение социального обслуживания Краснодарского края «Ленинградский социальный реабилитационный центр для несовершеннолетних»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Краснодарского края «Ленинградский комплексный центр социального обслуживания населения»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Закрытое акционерное общество «Сыродельный комбинат «Ленинградский»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«Ленинградская 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нтральная районная больница» министерства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Краснодарского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Непубличное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акционерное общество «Ленинградское дорожное ремонтно-строительное управление»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«Имени Ильича»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акционерное общество «Сахарный завод «Ленинградский»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«Век»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«Первомайская инкубаторно-птицеводческая станция»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«Вторая пятилетка»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публичного акционерного общества «Россети Кубань» Ленинградские электрические сети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«Чистая станица»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«ЭРКАФАРМ Краснодар»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tabs>
                <w:tab w:val="left" w:pos="750" w:leader="none"/>
                <w:tab w:val="center" w:pos="95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«Агро-Продукт» Ленинградский комбикормовый завод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11"/>
        </w:trPr>
        <w:tc>
          <w:tcPr>
            <w:shd w:val="clear" w:color="auto" w:fill="ffffff"/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«Белое»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shd w:val="clear" w:color="auto" w:fill="ffffff"/>
            <w:tcW w:w="534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«Южное ААА»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shd w:val="clear" w:color="auto" w:fill="ffffff"/>
            <w:tcW w:w="534" w:type="dxa"/>
            <w:vAlign w:val="top"/>
            <w:textDirection w:val="lrTb"/>
            <w:noWrap w:val="false"/>
          </w:tcPr>
          <w:p>
            <w:pPr>
              <w:pStyle w:val="84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6377" w:type="dxa"/>
            <w:vAlign w:val="top"/>
            <w:textDirection w:val="lrTb"/>
            <w:noWrap w:val="false"/>
          </w:tcPr>
          <w:p>
            <w:pPr>
              <w:pStyle w:val="847"/>
              <w:jc w:val="left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683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2541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W w:w="510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171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7"/>
        <w:ind w:left="-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sz w:val="28"/>
          <w:szCs w:val="28"/>
        </w:rPr>
      </w:r>
      <w:r/>
    </w:p>
    <w:p>
      <w:pPr>
        <w:pStyle w:val="847"/>
        <w:ind w:left="-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47"/>
        <w:ind w:left="-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Ленинградский район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Ю.И. Мазурова</w:t>
      </w:r>
      <w:r>
        <w:rPr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993" w:right="678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  <w:p>
    <w:pPr>
      <w:pStyle w:val="856"/>
      <w:tabs>
        <w:tab w:val="center" w:pos="7285" w:leader="none"/>
        <w:tab w:val="left" w:pos="8160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48">
    <w:name w:val="Заголовок 4"/>
    <w:basedOn w:val="847"/>
    <w:next w:val="847"/>
    <w:link w:val="853"/>
    <w:uiPriority w:val="9"/>
    <w:semiHidden/>
    <w:unhideWhenUsed/>
    <w:qFormat/>
    <w:pPr>
      <w:keepNext/>
      <w:spacing w:before="240" w:after="60" w:line="240" w:lineRule="auto"/>
      <w:widowControl w:val="off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849">
    <w:name w:val="Основной шрифт абзаца"/>
    <w:next w:val="849"/>
    <w:link w:val="847"/>
    <w:uiPriority w:val="1"/>
    <w:semiHidden/>
    <w:unhideWhenUsed/>
  </w:style>
  <w:style w:type="table" w:styleId="850">
    <w:name w:val="Обычная таблица"/>
    <w:next w:val="850"/>
    <w:link w:val="847"/>
    <w:uiPriority w:val="99"/>
    <w:semiHidden/>
    <w:unhideWhenUsed/>
    <w:qFormat/>
    <w:tblPr/>
  </w:style>
  <w:style w:type="numbering" w:styleId="851">
    <w:name w:val="Нет списка"/>
    <w:next w:val="851"/>
    <w:link w:val="847"/>
    <w:uiPriority w:val="99"/>
    <w:semiHidden/>
    <w:unhideWhenUsed/>
  </w:style>
  <w:style w:type="table" w:styleId="852">
    <w:name w:val="Сетка таблицы"/>
    <w:basedOn w:val="850"/>
    <w:next w:val="852"/>
    <w:link w:val="847"/>
    <w:uiPriority w:val="59"/>
    <w:pPr>
      <w:spacing w:after="0" w:line="240" w:lineRule="auto"/>
    </w:pPr>
    <w:tblPr/>
  </w:style>
  <w:style w:type="character" w:styleId="853">
    <w:name w:val="Заголовок 4 Знак"/>
    <w:basedOn w:val="849"/>
    <w:next w:val="853"/>
    <w:link w:val="848"/>
    <w:uiPriority w:val="9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854">
    <w:name w:val="Подзаголовок"/>
    <w:basedOn w:val="847"/>
    <w:next w:val="854"/>
    <w:link w:val="855"/>
    <w:qFormat/>
    <w:pPr>
      <w:ind w:left="180" w:hanging="180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55">
    <w:name w:val="Подзаголовок Знак"/>
    <w:basedOn w:val="849"/>
    <w:next w:val="855"/>
    <w:link w:val="85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56">
    <w:name w:val="Верхний колонтитул"/>
    <w:basedOn w:val="847"/>
    <w:next w:val="856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basedOn w:val="849"/>
    <w:next w:val="857"/>
    <w:link w:val="856"/>
    <w:uiPriority w:val="99"/>
  </w:style>
  <w:style w:type="paragraph" w:styleId="858">
    <w:name w:val="Нижний колонтитул"/>
    <w:basedOn w:val="847"/>
    <w:next w:val="858"/>
    <w:link w:val="85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basedOn w:val="849"/>
    <w:next w:val="859"/>
    <w:link w:val="858"/>
    <w:uiPriority w:val="99"/>
    <w:semiHidden/>
  </w:style>
  <w:style w:type="paragraph" w:styleId="860">
    <w:name w:val="Текст выноски"/>
    <w:basedOn w:val="847"/>
    <w:next w:val="860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>
    <w:name w:val="Текст выноски Знак"/>
    <w:basedOn w:val="849"/>
    <w:next w:val="861"/>
    <w:link w:val="86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36</cp:revision>
  <dcterms:created xsi:type="dcterms:W3CDTF">2022-11-03T06:37:00Z</dcterms:created>
  <dcterms:modified xsi:type="dcterms:W3CDTF">2023-11-29T05:17:36Z</dcterms:modified>
  <cp:version>786432</cp:version>
</cp:coreProperties>
</file>