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9"/>
        <w:tblW w:w="9689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550"/>
        <w:gridCol w:w="4138"/>
      </w:tblGrid>
      <w:tr>
        <w:trPr/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</w:r>
          </w:p>
        </w:tc>
        <w:tc>
          <w:tcPr>
            <w:tcW w:w="413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29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835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округ Краснодарского края</w:t>
            </w:r>
          </w:p>
        </w:tc>
      </w:tr>
    </w:tbl>
    <w:p>
      <w:pPr>
        <w:pStyle w:val="ConsPlusTitle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Title"/>
        <w:rPr>
          <w:b w:val="false"/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РАСЧЕТНЫЕ РАЗМЕРЫ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ставок субсидий для предоставления финансовой государственной 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поддержки крестьянским (фермерским) хозяйствам и индивидуальным 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предпринимателям, ведущим деятельность в области </w:t>
      </w:r>
    </w:p>
    <w:p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сельскохозяйственного производства</w:t>
      </w:r>
    </w:p>
    <w:p>
      <w:pPr>
        <w:pStyle w:val="ConsPlusTitle"/>
        <w:jc w:val="center"/>
        <w:rPr>
          <w:b w:val="false"/>
          <w:b w:val="false"/>
        </w:rPr>
      </w:pPr>
      <w:r>
        <w:rPr>
          <w:b w:val="false"/>
        </w:rPr>
      </w:r>
    </w:p>
    <w:p>
      <w:pPr>
        <w:pStyle w:val="Normal"/>
        <w:spacing w:before="0" w:after="1"/>
        <w:rPr>
          <w:sz w:val="16"/>
          <w:szCs w:val="16"/>
        </w:rPr>
      </w:pPr>
      <w:r>
        <w:rPr>
          <w:sz w:val="16"/>
          <w:szCs w:val="16"/>
        </w:rPr>
      </w:r>
    </w:p>
    <w:tbl>
      <w:tblPr>
        <w:tblW w:w="970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2"/>
        <w:gridCol w:w="3687"/>
        <w:gridCol w:w="6"/>
        <w:gridCol w:w="283"/>
        <w:gridCol w:w="5103"/>
      </w:tblGrid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Вид субсидии</w:t>
            </w:r>
          </w:p>
        </w:tc>
        <w:tc>
          <w:tcPr>
            <w:tcW w:w="5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Размер субсидии на затраты, понесенные в текущем финансовом году и четвертом квартале предыдущего года</w:t>
            </w:r>
          </w:p>
        </w:tc>
      </w:tr>
      <w:tr>
        <w:trPr>
          <w:trHeight w:val="176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821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приобретение племенных сельскохозяйственных животных, а также товарных сельскохозяйственных животных (коров, нетелей, овцематок, ремонтных телок, ярочек, козочек), предназначенных для воспроизводства</w:t>
            </w:r>
          </w:p>
        </w:tc>
      </w:tr>
      <w:tr>
        <w:trPr>
          <w:trHeight w:val="312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поголовье коров, нетелей, ремонтных телок</w:t>
            </w:r>
          </w:p>
        </w:tc>
      </w:tr>
      <w:tr>
        <w:trPr>
          <w:trHeight w:val="631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1 и более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голов</w:t>
            </w:r>
          </w:p>
        </w:tc>
        <w:tc>
          <w:tcPr>
            <w:tcW w:w="5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90 рублей за 1 кг живого веса, но не более 50 % от фактически понесенных затрат</w:t>
            </w:r>
          </w:p>
        </w:tc>
      </w:tr>
      <w:tr>
        <w:trPr>
          <w:trHeight w:val="123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9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поголовье овцематок (ярочек) пород мясного направления</w:t>
            </w:r>
          </w:p>
        </w:tc>
      </w:tr>
      <w:tr>
        <w:trPr>
          <w:trHeight w:val="342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до 20 голов</w:t>
            </w:r>
          </w:p>
        </w:tc>
        <w:tc>
          <w:tcPr>
            <w:tcW w:w="5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рублей за 1 кг живого веса, но не более 50 % от фактически понесенных затрат</w:t>
            </w:r>
          </w:p>
        </w:tc>
      </w:tr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более 20 голов</w:t>
            </w:r>
          </w:p>
        </w:tc>
        <w:tc>
          <w:tcPr>
            <w:tcW w:w="5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 рублей за 1 кг живого веса, но не более 50 % от фактически понесенных затрат</w:t>
            </w:r>
          </w:p>
        </w:tc>
      </w:tr>
      <w:tr>
        <w:trPr>
          <w:trHeight w:val="229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9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tabs>
                <w:tab w:val="clear" w:pos="708"/>
                <w:tab w:val="center" w:pos="4105" w:leader="none"/>
                <w:tab w:val="left" w:pos="6268" w:leader="none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поголовье козочек</w:t>
            </w:r>
          </w:p>
        </w:tc>
      </w:tr>
      <w:tr>
        <w:trPr>
          <w:trHeight w:val="317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 приобретении товарного    поголовья козочек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200 рублей за 1 кг живого веса, но не более 50 % от фактически понесенных затрат</w:t>
            </w:r>
          </w:p>
        </w:tc>
      </w:tr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приобретение молодняка кроликов, гусей, индеек</w:t>
            </w:r>
          </w:p>
        </w:tc>
      </w:tr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приобретение молодняка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кроликов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400 рублей за одну голову, но не более 50 % от фактически понесенных затрат</w:t>
            </w:r>
          </w:p>
        </w:tc>
      </w:tr>
      <w:tr>
        <w:trPr>
          <w:trHeight w:val="612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приобретение молодняка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гусей, индеек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рублей за одну голову, но не более 50 % от фактически понесенных затрат</w:t>
            </w:r>
          </w:p>
        </w:tc>
      </w:tr>
      <w:tr>
        <w:trPr>
          <w:trHeight w:val="329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производство реализуемой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продукции животноводства</w:t>
            </w:r>
          </w:p>
        </w:tc>
      </w:tr>
      <w:tr>
        <w:trPr>
          <w:trHeight w:val="711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/>
            </w:pPr>
            <w:r>
              <w:rPr/>
              <w:t>3.1</w:t>
            </w:r>
          </w:p>
        </w:tc>
        <w:tc>
          <w:tcPr>
            <w:tcW w:w="3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за реализацию молока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r>
              <w:rPr/>
              <w:t>3 рубля за 1 кг молока, но не более чем за 100 000 кг в финансовом году</w:t>
            </w:r>
          </w:p>
        </w:tc>
      </w:tr>
      <w:tr>
        <w:trPr>
          <w:trHeight w:val="329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3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реализацию мяса крупного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рогатого скота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 рублей за 1 кг живого веса, но не более чем за 100 000 кг в финансовом году</w:t>
            </w:r>
          </w:p>
        </w:tc>
      </w:tr>
      <w:tr>
        <w:trPr>
          <w:trHeight w:val="441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оплату услуг по искусственному осеменению</w:t>
            </w:r>
          </w:p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сельскохозяйственных животных (крупного рогатого скота, овец и коз)</w:t>
            </w:r>
          </w:p>
        </w:tc>
      </w:tr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искусственное осеменение крупного рогатого скота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500 рублей за одну голову, но не более 50 % от фактически понесенных затрат</w:t>
            </w:r>
          </w:p>
        </w:tc>
      </w:tr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искусственное осеменение овец и коз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350 рублей за одну голову, но не более 50 % от фактически понесенных затрат</w:t>
            </w:r>
          </w:p>
        </w:tc>
      </w:tr>
      <w:tr>
        <w:trPr>
          <w:trHeight w:val="701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приобретение систем капельного   орошения для ведения овощеводства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20 % от фактически понесенных затрат на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приобретение, но не более 90 000 рублей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461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pacing w:lineRule="auto" w: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строительство теплиц для выращивания овощей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и (или) ягод в защищенном грунте</w:t>
            </w:r>
          </w:p>
        </w:tc>
      </w:tr>
      <w:tr>
        <w:trPr>
          <w:trHeight w:val="1080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строительство теплиц на металлическом и стеклопластиковом каркасе площадью не менее 100 кв. м каждая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350 рублей за 1 кв. м, но не более 100 % от фактически понесенных затрат и не более чем за 0,5 га в финансовом году</w:t>
            </w:r>
          </w:p>
        </w:tc>
      </w:tr>
      <w:tr>
        <w:trPr>
          <w:trHeight w:val="900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строительство теплиц на деревянном и комбинированном каркасе площадью не менее 100 кв. м каждая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150 рублей за 1 кв. м, но не более 100 % от фактически понесенных затрат и не более чем за 0,5 га в финансовом году</w:t>
            </w:r>
          </w:p>
        </w:tc>
      </w:tr>
      <w:tr>
        <w:trPr>
          <w:trHeight w:val="995" w:hRule="atLeast"/>
        </w:trPr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на приобретение технологического оборудования для животноводства и птицеводства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20 % от фактически понесенных затрат на</w:t>
            </w:r>
          </w:p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приобретение, но не более 80 000 рублей</w:t>
            </w:r>
          </w:p>
        </w:tc>
      </w:tr>
      <w:tr>
        <w:trPr/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numPr>
                <w:ilvl w:val="0"/>
                <w:numId w:val="0"/>
              </w:numPr>
              <w:ind w:left="0" w:hanging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Возмещение части затрат по наращиванию поголовья коров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50 000 рублей на одну голову, но не более чем за две головы в финансовом году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 хозяйства,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перерабатывающей промышленности и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охраны окружающей среды администрации                                    В.И.Мишняков</w:t>
      </w:r>
    </w:p>
    <w:sectPr>
      <w:headerReference w:type="default" r:id="rId2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06c4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4800a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4800a5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5a348e"/>
    <w:rPr>
      <w:rFonts w:ascii="Tahoma" w:hAnsi="Tahoma" w:eastAsia="Times New Roman" w:cs="Tahoma"/>
      <w:sz w:val="16"/>
      <w:szCs w:val="16"/>
      <w:lang w:eastAsia="ru-RU"/>
    </w:rPr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7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ConsPlusTitle" w:customStyle="1">
    <w:name w:val="ConsPlusTitle"/>
    <w:qFormat/>
    <w:rsid w:val="00106c40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ConsPlusNormal1" w:customStyle="1">
    <w:name w:val="ConsPlusNormal"/>
    <w:qFormat/>
    <w:rsid w:val="00106c40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Style14"/>
    <w:uiPriority w:val="99"/>
    <w:unhideWhenUsed/>
    <w:rsid w:val="004800a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Style15"/>
    <w:uiPriority w:val="99"/>
    <w:semiHidden/>
    <w:unhideWhenUsed/>
    <w:rsid w:val="004800a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5a348e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26c79"/>
    <w:pPr>
      <w:spacing w:before="0" w:after="0"/>
      <w:ind w:left="720" w:hanging="0"/>
      <w:contextualSpacing/>
    </w:pPr>
    <w:rPr/>
  </w:style>
  <w:style w:type="paragraph" w:styleId="11">
    <w:name w:val="Знак1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12">
    <w:name w:val="Обычный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6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8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39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0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1">
    <w:name w:val="Текст примечания"/>
    <w:basedOn w:val="Normal"/>
    <w:qFormat/>
    <w:pPr/>
    <w:rPr>
      <w:sz w:val="20"/>
      <w:szCs w:val="20"/>
    </w:rPr>
  </w:style>
  <w:style w:type="paragraph" w:styleId="Style42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3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rsid w:val="0059790d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8433DF-5A68-434A-A2F1-5D0884B40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Application>LibreOffice/7.4.3.2$Windows_X86_64 LibreOffice_project/1048a8393ae2eeec98dff31b5c133c5f1d08b890</Application>
  <AppVersion>15.0000</AppVersion>
  <Pages>2</Pages>
  <Words>555</Words>
  <Characters>3193</Characters>
  <CharactersWithSpaces>3694</CharactersWithSpaces>
  <Paragraphs>99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Рымарь</dc:creator>
  <dc:description/>
  <dc:language>ru-RU</dc:language>
  <cp:lastModifiedBy/>
  <dcterms:modified xsi:type="dcterms:W3CDTF">2024-06-06T09:18:05Z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