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Приложение 5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о муниципальном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в сфере благоустройства на территории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b/>
          <w:sz w:val="28"/>
          <w:szCs w:val="28"/>
          <w:highlight w:val="yellow"/>
        </w:rPr>
      </w:pP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</w:p>
    <w:p>
      <w:pPr>
        <w:pStyle w:val="621"/>
        <w:contextualSpacing/>
        <w:ind w:left="0" w:right="-142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  <w:highlight w:val="yellow"/>
        </w:rPr>
      </w:pP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Ключевые показатели муниципального контроля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и их целевые значения, индикативные показатели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tbl>
      <w:tblPr>
        <w:tblW w:w="9269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1846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3" w:type="dxa"/>
            <w:textDirection w:val="lrTb"/>
            <w:noWrap w:val="false"/>
          </w:tcPr>
          <w:p>
            <w:pPr>
              <w:contextualSpacing/>
              <w:ind w:left="23" w:right="-142" w:hanging="113"/>
              <w:jc w:val="center"/>
              <w:spacing w:line="240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  <w:t xml:space="preserve">Ключевые показатели</w:t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contextualSpacing/>
              <w:ind w:left="23" w:right="-142" w:hanging="113"/>
              <w:jc w:val="center"/>
              <w:spacing w:line="240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  <w:t xml:space="preserve">Целевые значения</w:t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3" w:type="dxa"/>
            <w:textDirection w:val="lrTb"/>
            <w:noWrap w:val="false"/>
          </w:tcPr>
          <w:p>
            <w:pPr>
              <w:contextualSpacing/>
              <w:ind w:right="-142" w:firstLine="539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устраненных нарушений из числа выявленных нарушений законодательства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contextualSpacing/>
              <w:ind w:right="-142" w:firstLine="33"/>
              <w:jc w:val="center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3" w:type="dxa"/>
            <w:textDirection w:val="lrTb"/>
            <w:noWrap w:val="false"/>
          </w:tcPr>
          <w:p>
            <w:pPr>
              <w:contextualSpacing/>
              <w:ind w:right="-142" w:firstLine="539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устранения нарушений обязательных требований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contextualSpacing/>
              <w:ind w:right="-142" w:firstLine="33"/>
              <w:jc w:val="center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3" w:type="dxa"/>
            <w:textDirection w:val="lrTb"/>
            <w:noWrap w:val="false"/>
          </w:tcPr>
          <w:p>
            <w:pPr>
              <w:contextualSpacing/>
              <w:ind w:right="-142" w:firstLine="539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выполнения плана проведения плановых контрольных мероприятий на очередной календарный год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contextualSpacing/>
              <w:ind w:right="-142" w:firstLine="33"/>
              <w:jc w:val="center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3" w:type="dxa"/>
            <w:textDirection w:val="lrTb"/>
            <w:noWrap w:val="false"/>
          </w:tcPr>
          <w:p>
            <w:pPr>
              <w:contextualSpacing/>
              <w:ind w:right="-142" w:firstLine="539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обос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нованных обращений (жалоб) граждан и организаций о нарушении обязательных требований, поступивших в Орган муниципального контроля на действия (бездействие) органа муниципального контроля и (или) его должностного лица при проведении контрольных мероприятий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contextualSpacing/>
              <w:ind w:right="-142" w:firstLine="33"/>
              <w:jc w:val="center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3" w:type="dxa"/>
            <w:textDirection w:val="lrTb"/>
            <w:noWrap w:val="false"/>
          </w:tcPr>
          <w:p>
            <w:pPr>
              <w:contextualSpacing/>
              <w:ind w:right="-142" w:firstLine="539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отмененных результатов контрольных мероприятий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contextualSpacing/>
              <w:ind w:right="-142" w:firstLine="33"/>
              <w:jc w:val="center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3" w:type="dxa"/>
            <w:textDirection w:val="lrTb"/>
            <w:noWrap w:val="false"/>
          </w:tcPr>
          <w:p>
            <w:pPr>
              <w:contextualSpacing/>
              <w:ind w:right="-142" w:firstLine="539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результативных контрольных мероприятий, по которым не были приняты соответствующие меры административного воздействия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contextualSpacing/>
              <w:ind w:right="-142" w:firstLine="33"/>
              <w:jc w:val="center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3" w:type="dxa"/>
            <w:textDirection w:val="lrTb"/>
            <w:noWrap w:val="false"/>
          </w:tcPr>
          <w:p>
            <w:pPr>
              <w:contextualSpacing/>
              <w:ind w:right="-142" w:firstLine="539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contextualSpacing/>
              <w:ind w:right="-142" w:firstLine="33"/>
              <w:jc w:val="center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sz w:val="25"/>
          <w:szCs w:val="25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b/>
          <w:color w:val="auto"/>
          <w:sz w:val="25"/>
          <w:szCs w:val="25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Индикативные показатели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rPr>
          <w:rFonts w:ascii="FreeSerif" w:hAnsi="FreeSerif" w:cs="FreeSerif"/>
          <w:color w:val="auto"/>
          <w:sz w:val="25"/>
          <w:szCs w:val="25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13"/>
        <w:gridCol w:w="3782"/>
        <w:gridCol w:w="1069"/>
        <w:gridCol w:w="3875"/>
        <w:gridCol w:w="898"/>
      </w:tblGrid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/п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Формула расчета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Комментарии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(интерпретация значений)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Знач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br/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br/>
              <w:t xml:space="preserve">показа-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телей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допустивших нарушения, в результате которых причинен вред (ущерб) или была создана угроза его причинения,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Доля субъектов, у которых были устранены нарушения, выявленные в результате проведения контрольных мероприятий,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устранивших нарушения, выявленные в результате проведения контрольных мероприятий,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нарушениями,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контрольные мероприятия,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contextualSpacing/>
        <w:ind w:left="4820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4820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contextualSpacing/>
        <w:ind w:left="0" w:right="-57" w:firstLine="0"/>
        <w:jc w:val="left"/>
        <w:spacing w:line="240" w:lineRule="auto"/>
        <w:widowControl/>
        <w:rPr>
          <w:rFonts w:ascii="FreeSerif" w:hAnsi="FreeSerif" w:cs="FreeSerif"/>
          <w:color w:val="auto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FreeSerif" w:hAnsi="FreeSerif" w:eastAsia="FreeSerif" w:cs="FreeSerif"/>
          <w:color w:val="auto"/>
          <w:lang w:eastAsia="en-US"/>
        </w:rPr>
      </w:r>
      <w:r>
        <w:rPr>
          <w:rFonts w:ascii="FreeSerif" w:hAnsi="FreeSerif" w:eastAsia="FreeSerif" w:cs="FreeSerif"/>
          <w:color w:val="auto"/>
          <w:lang w:eastAsia="en-US"/>
        </w:rPr>
      </w:r>
    </w:p>
    <w:p>
      <w:pPr>
        <w:contextualSpacing/>
        <w:ind w:right="-142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spacing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ree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2025-05-11T13:55:13Z</dcterms:modified>
</cp:coreProperties>
</file>