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8931"/>
        <w:jc w:val="both"/>
      </w:pPr>
      <w:r>
        <w:t>Приложение 1</w:t>
      </w:r>
    </w:p>
    <w:p w14:paraId="04000000">
      <w:pPr>
        <w:widowControl w:val="1"/>
        <w:ind w:left="8931"/>
        <w:jc w:val="both"/>
      </w:pPr>
      <w:r>
        <w:t xml:space="preserve">к Паспорту муниципальной программы </w:t>
      </w:r>
      <w:r>
        <w:t>Ленинградского муниципального округа</w:t>
      </w:r>
      <w:r>
        <w:t xml:space="preserve"> </w:t>
      </w:r>
      <w:r>
        <w:t>«Переселение граждан из аварийного жилищного фонда»</w:t>
      </w:r>
      <w:r>
        <w:t>»</w:t>
      </w:r>
    </w:p>
    <w:p w14:paraId="05000000">
      <w:pPr>
        <w:widowControl w:val="1"/>
        <w:spacing w:line="228" w:lineRule="auto"/>
        <w:ind/>
        <w:jc w:val="center"/>
      </w:pPr>
    </w:p>
    <w:p w14:paraId="06000000">
      <w:pPr>
        <w:widowControl w:val="1"/>
        <w:spacing w:line="228" w:lineRule="auto"/>
        <w:ind/>
        <w:jc w:val="center"/>
        <w:rPr>
          <w:b w:val="1"/>
        </w:rPr>
      </w:pPr>
      <w:r>
        <w:rPr>
          <w:b w:val="1"/>
        </w:rPr>
        <w:t>Цели, задачи и целевые показатели</w:t>
      </w:r>
    </w:p>
    <w:p w14:paraId="07000000">
      <w:pPr>
        <w:widowControl w:val="1"/>
        <w:spacing w:line="228" w:lineRule="auto"/>
        <w:ind/>
        <w:jc w:val="center"/>
        <w:rPr>
          <w:b w:val="1"/>
        </w:rPr>
      </w:pPr>
      <w:r>
        <w:rPr>
          <w:b w:val="1"/>
        </w:rPr>
        <w:t xml:space="preserve"> муниципальной программы</w:t>
      </w:r>
      <w:r>
        <w:rPr>
          <w:b w:val="1"/>
        </w:rPr>
        <w:t xml:space="preserve"> </w:t>
      </w:r>
      <w:r>
        <w:rPr>
          <w:b w:val="1"/>
        </w:rPr>
        <w:t>Ленинградского муниципального округа</w:t>
      </w:r>
    </w:p>
    <w:p w14:paraId="08000000">
      <w:pPr>
        <w:pStyle w:val="Style_2"/>
        <w:widowControl w:val="1"/>
        <w:spacing w:after="0" w:before="0" w:line="228" w:lineRule="auto"/>
        <w:ind w:left="37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 xml:space="preserve">Переселение граждан </w:t>
      </w:r>
      <w:r>
        <w:rPr>
          <w:rFonts w:ascii="Times New Roman" w:hAnsi="Times New Roman"/>
          <w:b w:val="1"/>
          <w:color w:val="000000"/>
          <w:sz w:val="28"/>
        </w:rPr>
        <w:t>из аварийного жилищного фонда</w:t>
      </w:r>
      <w:r>
        <w:rPr>
          <w:rFonts w:ascii="Times New Roman" w:hAnsi="Times New Roman"/>
          <w:b w:val="1"/>
          <w:i w:val="1"/>
          <w:sz w:val="28"/>
        </w:rPr>
        <w:t>»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09000000"/>
    <w:p w14:paraId="0A000000"/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580"/>
        <w:gridCol w:w="4930"/>
        <w:gridCol w:w="1370"/>
        <w:gridCol w:w="1530"/>
        <w:gridCol w:w="1530"/>
        <w:gridCol w:w="1530"/>
        <w:gridCol w:w="1553"/>
        <w:gridCol w:w="1544"/>
      </w:tblGrid>
      <w:tr>
        <w:tc>
          <w:tcPr>
            <w:tcW w:type="dxa" w:w="5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№</w:t>
            </w:r>
            <w:r>
              <w:rPr>
                <w:rFonts w:ascii="Times New Roman" w:hAnsi="Times New Roman"/>
                <w:sz w:val="27"/>
              </w:rPr>
              <w:br/>
            </w:r>
            <w:r>
              <w:rPr>
                <w:rFonts w:ascii="Times New Roman" w:hAnsi="Times New Roman"/>
                <w:sz w:val="27"/>
              </w:rPr>
              <w:t>п/п</w:t>
            </w:r>
          </w:p>
        </w:tc>
        <w:tc>
          <w:tcPr>
            <w:tcW w:type="dxa" w:w="4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Наименование целевого показателя</w:t>
            </w:r>
          </w:p>
        </w:tc>
        <w:tc>
          <w:tcPr>
            <w:tcW w:type="dxa" w:w="13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4"/>
              <w:widowControl w:val="1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Единица измерения</w:t>
            </w:r>
          </w:p>
        </w:tc>
        <w:tc>
          <w:tcPr>
            <w:tcW w:type="dxa" w:w="768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Значение показателей</w:t>
            </w:r>
          </w:p>
        </w:tc>
      </w:tr>
      <w:tr>
        <w:tc>
          <w:tcPr>
            <w:tcW w:type="dxa" w:w="5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</w:t>
            </w:r>
            <w:r>
              <w:rPr>
                <w:rFonts w:ascii="Times New Roman" w:hAnsi="Times New Roman"/>
                <w:sz w:val="27"/>
              </w:rPr>
              <w:t>5</w:t>
            </w:r>
            <w:r>
              <w:rPr>
                <w:rFonts w:ascii="Times New Roman" w:hAnsi="Times New Roman"/>
                <w:sz w:val="27"/>
              </w:rPr>
              <w:t xml:space="preserve"> год реализации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</w:t>
            </w:r>
            <w:r>
              <w:rPr>
                <w:rFonts w:ascii="Times New Roman" w:hAnsi="Times New Roman"/>
                <w:sz w:val="27"/>
              </w:rPr>
              <w:t>6</w:t>
            </w:r>
            <w:r>
              <w:rPr>
                <w:rFonts w:ascii="Times New Roman" w:hAnsi="Times New Roman"/>
                <w:sz w:val="27"/>
              </w:rPr>
              <w:t xml:space="preserve"> год реализации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</w:t>
            </w:r>
            <w:r>
              <w:rPr>
                <w:rFonts w:ascii="Times New Roman" w:hAnsi="Times New Roman"/>
                <w:sz w:val="27"/>
              </w:rPr>
              <w:t>7</w:t>
            </w:r>
            <w:r>
              <w:rPr>
                <w:rFonts w:ascii="Times New Roman" w:hAnsi="Times New Roman"/>
                <w:sz w:val="27"/>
              </w:rPr>
              <w:t xml:space="preserve"> год реализации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</w:t>
            </w:r>
            <w:r>
              <w:rPr>
                <w:rFonts w:ascii="Times New Roman" w:hAnsi="Times New Roman"/>
                <w:sz w:val="27"/>
              </w:rPr>
              <w:t>8</w:t>
            </w:r>
            <w:r>
              <w:rPr>
                <w:rFonts w:ascii="Times New Roman" w:hAnsi="Times New Roman"/>
                <w:sz w:val="27"/>
              </w:rPr>
              <w:t xml:space="preserve"> год </w:t>
            </w:r>
          </w:p>
          <w:p w14:paraId="13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реализации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202</w:t>
            </w:r>
            <w:r>
              <w:rPr>
                <w:rFonts w:ascii="Times New Roman" w:hAnsi="Times New Roman"/>
                <w:sz w:val="27"/>
              </w:rPr>
              <w:t>9</w:t>
            </w:r>
            <w:r>
              <w:rPr>
                <w:rFonts w:ascii="Times New Roman" w:hAnsi="Times New Roman"/>
                <w:sz w:val="27"/>
              </w:rPr>
              <w:t xml:space="preserve"> год реализации</w:t>
            </w:r>
          </w:p>
        </w:tc>
      </w:tr>
      <w:t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4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4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6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7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</w:tr>
      <w:t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398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2"/>
              <w:widowControl w:val="1"/>
              <w:spacing w:after="0" w:before="0" w:line="228" w:lineRule="auto"/>
              <w:ind w:left="37"/>
              <w:jc w:val="both"/>
              <w:rPr>
                <w:rFonts w:ascii="Times New Roman" w:hAnsi="Times New Roman"/>
                <w:b w:val="0"/>
                <w:color w:val="000000"/>
                <w:sz w:val="27"/>
              </w:rPr>
            </w:pPr>
            <w:r>
              <w:rPr>
                <w:rFonts w:ascii="Times New Roman" w:hAnsi="Times New Roman"/>
                <w:b w:val="0"/>
                <w:color w:val="000000"/>
                <w:sz w:val="27"/>
              </w:rPr>
              <w:t xml:space="preserve">Муниципальная программа </w:t>
            </w:r>
            <w:r>
              <w:rPr>
                <w:rFonts w:ascii="Times New Roman" w:hAnsi="Times New Roman"/>
                <w:b w:val="0"/>
                <w:color w:val="000000"/>
                <w:sz w:val="27"/>
              </w:rPr>
              <w:t>«</w:t>
            </w:r>
            <w:r>
              <w:rPr>
                <w:rFonts w:ascii="Times New Roman" w:hAnsi="Times New Roman"/>
                <w:b w:val="0"/>
                <w:sz w:val="27"/>
              </w:rPr>
              <w:t>Переселение граждан из аварийного жилищного фонда</w:t>
            </w:r>
            <w:bookmarkStart w:id="1" w:name="_GoBack"/>
            <w:bookmarkEnd w:id="1"/>
            <w:r>
              <w:rPr>
                <w:rFonts w:ascii="Times New Roman" w:hAnsi="Times New Roman"/>
                <w:b w:val="0"/>
                <w:color w:val="000000"/>
                <w:sz w:val="27"/>
              </w:rPr>
              <w:t>»</w:t>
            </w:r>
            <w:r>
              <w:rPr>
                <w:rFonts w:ascii="Times New Roman" w:hAnsi="Times New Roman"/>
                <w:b w:val="0"/>
                <w:color w:val="000000"/>
                <w:sz w:val="27"/>
              </w:rPr>
              <w:t xml:space="preserve"> </w:t>
            </w:r>
          </w:p>
        </w:tc>
      </w:tr>
      <w:t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1.1</w:t>
            </w:r>
          </w:p>
        </w:tc>
        <w:tc>
          <w:tcPr>
            <w:tcW w:type="dxa" w:w="4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5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Общая площадь расселяемых</w:t>
            </w:r>
            <w:r>
              <w:rPr>
                <w:rFonts w:ascii="Times New Roman" w:hAnsi="Times New Roman"/>
                <w:sz w:val="27"/>
              </w:rPr>
              <w:t xml:space="preserve"> жилых помещений в аварийн</w:t>
            </w:r>
            <w:r>
              <w:rPr>
                <w:rFonts w:ascii="Times New Roman" w:hAnsi="Times New Roman"/>
                <w:sz w:val="27"/>
              </w:rPr>
              <w:t>ых</w:t>
            </w:r>
            <w:r>
              <w:rPr>
                <w:rFonts w:ascii="Times New Roman" w:hAnsi="Times New Roman"/>
                <w:sz w:val="27"/>
              </w:rPr>
              <w:t xml:space="preserve"> многоквартирн</w:t>
            </w:r>
            <w:r>
              <w:rPr>
                <w:rFonts w:ascii="Times New Roman" w:hAnsi="Times New Roman"/>
                <w:sz w:val="27"/>
              </w:rPr>
              <w:t>ых</w:t>
            </w:r>
            <w:r>
              <w:rPr>
                <w:rFonts w:ascii="Times New Roman" w:hAnsi="Times New Roman"/>
                <w:sz w:val="27"/>
              </w:rPr>
              <w:t xml:space="preserve"> дом</w:t>
            </w:r>
            <w:r>
              <w:rPr>
                <w:rFonts w:ascii="Times New Roman" w:hAnsi="Times New Roman"/>
                <w:sz w:val="27"/>
              </w:rPr>
              <w:t>ах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кв.м.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241,6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241,3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</w:tr>
      <w:t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1.2</w:t>
            </w:r>
          </w:p>
        </w:tc>
        <w:tc>
          <w:tcPr>
            <w:tcW w:type="dxa" w:w="4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5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Число пе</w:t>
            </w:r>
            <w:r>
              <w:rPr>
                <w:rFonts w:ascii="Times New Roman" w:hAnsi="Times New Roman"/>
                <w:sz w:val="27"/>
              </w:rPr>
              <w:t>реселяемых граждан из аварийных</w:t>
            </w:r>
            <w:r>
              <w:rPr>
                <w:rFonts w:ascii="Times New Roman" w:hAnsi="Times New Roman"/>
                <w:sz w:val="27"/>
              </w:rPr>
              <w:t xml:space="preserve"> многоквартирн</w:t>
            </w:r>
            <w:r>
              <w:rPr>
                <w:rFonts w:ascii="Times New Roman" w:hAnsi="Times New Roman"/>
                <w:sz w:val="27"/>
              </w:rPr>
              <w:t>ых</w:t>
            </w:r>
            <w:r>
              <w:rPr>
                <w:rFonts w:ascii="Times New Roman" w:hAnsi="Times New Roman"/>
                <w:sz w:val="27"/>
              </w:rPr>
              <w:t xml:space="preserve"> дом</w:t>
            </w:r>
            <w:r>
              <w:rPr>
                <w:rFonts w:ascii="Times New Roman" w:hAnsi="Times New Roman"/>
                <w:sz w:val="27"/>
              </w:rPr>
              <w:t>ов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чел.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8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17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</w:tr>
      <w:tr>
        <w:tc>
          <w:tcPr>
            <w:tcW w:type="dxa" w:w="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1.3</w:t>
            </w:r>
          </w:p>
        </w:tc>
        <w:tc>
          <w:tcPr>
            <w:tcW w:type="dxa" w:w="4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5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Количество многоквартирных домов, жители которых переселены в рамках выполнения мероприятий Программы</w:t>
            </w:r>
          </w:p>
        </w:tc>
        <w:tc>
          <w:tcPr>
            <w:tcW w:type="dxa" w:w="1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4"/>
              <w:widowControl w:val="1"/>
              <w:spacing w:line="228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шт.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widowControl w:val="1"/>
              <w:tabs>
                <w:tab w:leader="none" w:pos="749" w:val="center"/>
              </w:tabs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6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</w:t>
            </w:r>
          </w:p>
        </w:tc>
        <w:tc>
          <w:tcPr>
            <w:tcW w:type="dxa" w:w="1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4"/>
              <w:widowControl w:val="1"/>
              <w:spacing w:line="228" w:lineRule="auto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0</w:t>
            </w:r>
          </w:p>
        </w:tc>
      </w:tr>
    </w:tbl>
    <w:p w14:paraId="37000000"/>
    <w:p w14:paraId="38000000">
      <w:pPr>
        <w:widowControl w:val="1"/>
        <w:ind/>
        <w:jc w:val="both"/>
      </w:pPr>
      <w:r>
        <w:t>Заместитель главы</w:t>
      </w:r>
    </w:p>
    <w:p w14:paraId="39000000">
      <w:pPr>
        <w:widowControl w:val="1"/>
        <w:ind/>
        <w:jc w:val="both"/>
      </w:pPr>
      <w:r>
        <w:t>Ленинградского</w:t>
      </w:r>
    </w:p>
    <w:p w14:paraId="3A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С.Н.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Шмаровоз</w:t>
      </w:r>
    </w:p>
    <w:p w14:paraId="3B000000">
      <w:pPr>
        <w:widowControl w:val="1"/>
        <w:ind/>
        <w:jc w:val="both"/>
      </w:pPr>
    </w:p>
    <w:sectPr>
      <w:headerReference r:id="rId1" w:type="default"/>
      <w:pgSz w:h="11906" w:orient="landscape" w:w="16838"/>
      <w:pgMar w:bottom="850" w:footer="708" w:gutter="0" w:header="708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7" w:type="paragraph">
    <w:name w:val="No Spacing"/>
    <w:link w:val="Style_7_ch"/>
    <w:pPr>
      <w:widowControl w:val="1"/>
      <w:spacing w:after="0" w:line="240" w:lineRule="auto"/>
      <w:ind/>
    </w:pPr>
    <w:rPr>
      <w:rFonts w:ascii="Calibri" w:hAnsi="Calibri"/>
    </w:rPr>
  </w:style>
  <w:style w:styleId="Style_7_ch" w:type="character">
    <w:name w:val="No Spacing"/>
    <w:link w:val="Style_7"/>
    <w:rPr>
      <w:rFonts w:ascii="Calibri" w:hAnsi="Calibri"/>
    </w:rPr>
  </w:style>
  <w:style w:styleId="Style_5" w:type="paragraph">
    <w:name w:val="Прижатый влево"/>
    <w:basedOn w:val="Style_6"/>
    <w:next w:val="Style_6"/>
    <w:link w:val="Style_5_ch"/>
    <w:pPr>
      <w:widowControl w:val="0"/>
      <w:ind/>
    </w:pPr>
    <w:rPr>
      <w:rFonts w:ascii="Arial" w:hAnsi="Arial"/>
      <w:sz w:val="24"/>
    </w:rPr>
  </w:style>
  <w:style w:styleId="Style_5_ch" w:type="character">
    <w:name w:val="Прижатый влево"/>
    <w:basedOn w:val="Style_6_ch"/>
    <w:link w:val="Style_5"/>
    <w:rPr>
      <w:rFonts w:ascii="Arial" w:hAnsi="Arial"/>
      <w:sz w:val="24"/>
    </w:rPr>
  </w:style>
  <w:style w:styleId="Style_4" w:type="paragraph">
    <w:name w:val="Нормальный (таблица)"/>
    <w:basedOn w:val="Style_6"/>
    <w:next w:val="Style_6"/>
    <w:link w:val="Style_4_ch"/>
    <w:pPr>
      <w:widowControl w:val="0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6_ch"/>
    <w:link w:val="Style_4"/>
    <w:rPr>
      <w:rFonts w:ascii="Arial" w:hAnsi="Arial"/>
      <w:sz w:val="24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6"/>
    <w:link w:val="Style_15_ch"/>
    <w:rPr>
      <w:rFonts w:ascii="Segoe UI" w:hAnsi="Segoe UI"/>
      <w:sz w:val="18"/>
    </w:rPr>
  </w:style>
  <w:style w:styleId="Style_15_ch" w:type="character">
    <w:name w:val="Balloon Text"/>
    <w:basedOn w:val="Style_6_ch"/>
    <w:link w:val="Style_15"/>
    <w:rPr>
      <w:rFonts w:ascii="Segoe UI" w:hAnsi="Segoe UI"/>
      <w:sz w:val="18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" w:type="paragraph">
    <w:name w:val="heading 1"/>
    <w:basedOn w:val="Style_6"/>
    <w:next w:val="Style_6"/>
    <w:link w:val="Style_2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2_ch" w:type="character">
    <w:name w:val="heading 1"/>
    <w:basedOn w:val="Style_6_ch"/>
    <w:link w:val="Style_2"/>
    <w:rPr>
      <w:rFonts w:ascii="Arial" w:hAnsi="Arial"/>
      <w:b w:val="1"/>
      <w:color w:val="26282F"/>
      <w:sz w:val="24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е меню (преемственное)"/>
    <w:basedOn w:val="Style_6"/>
    <w:next w:val="Style_6"/>
    <w:link w:val="Style_24_ch"/>
    <w:pPr>
      <w:widowControl w:val="0"/>
      <w:ind w:firstLine="720"/>
      <w:jc w:val="both"/>
    </w:pPr>
    <w:rPr>
      <w:rFonts w:ascii="Verdana" w:hAnsi="Verdana"/>
      <w:sz w:val="22"/>
    </w:rPr>
  </w:style>
  <w:style w:styleId="Style_24_ch" w:type="character">
    <w:name w:val="Основное меню (преемственное)"/>
    <w:basedOn w:val="Style_6_ch"/>
    <w:link w:val="Style_24"/>
    <w:rPr>
      <w:rFonts w:ascii="Verdana" w:hAnsi="Verdana"/>
      <w:sz w:val="22"/>
    </w:rPr>
  </w:style>
  <w:style w:styleId="Style_25" w:type="paragraph">
    <w:name w:val="toc 5"/>
    <w:next w:val="Style_6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footer"/>
    <w:basedOn w:val="Style_6"/>
    <w:link w:val="Style_27_ch"/>
    <w:pPr>
      <w:widowControl w:val="1"/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6_ch"/>
    <w:link w:val="Style_27"/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6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2024-01-12T13:13:00Z</dcterms:created>
  <dcterms:modified xsi:type="dcterms:W3CDTF">2025-07-22T12:05:59Z</dcterms:modified>
</cp:coreProperties>
</file>