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5101575</wp:posOffset>
                </wp:positionH>
                <wp:positionV relativeFrom="paragraph">
                  <wp:posOffset>-65850</wp:posOffset>
                </wp:positionV>
                <wp:extent cx="885825" cy="3048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885824" cy="30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401.70pt;mso-position-horizontal:absolute;mso-position-vertical-relative:text;margin-top:-5.19pt;mso-position-vertical:absolute;width:69.75pt;height:24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FreeSerif" w:hAnsi="FreeSerif" w:eastAsia="FreeSerif" w:cs="FreeSerif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912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48295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4819" cy="579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60pt;height:45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_____________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</w:rPr>
        <w:t xml:space="preserve">    №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_____</w:t>
      </w:r>
      <w:r>
        <w:rPr>
          <w:rFonts w:ascii="FreeSerif" w:hAnsi="FreeSerif" w:cs="FreeSerif"/>
          <w:sz w:val="28"/>
          <w:szCs w:val="28"/>
          <w:u w:val="single"/>
        </w:rPr>
      </w:r>
      <w:r>
        <w:rPr>
          <w:rFonts w:ascii="FreeSerif" w:hAnsi="FreeSerif" w:cs="FreeSerif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32"/>
          <w:szCs w:val="32"/>
        </w:rPr>
      </w:pPr>
      <w:r>
        <w:rPr>
          <w:rFonts w:ascii="FreeSerif" w:hAnsi="FreeSerif" w:eastAsia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</w:p>
    <w:p>
      <w:pPr>
        <w:pStyle w:val="876"/>
        <w:jc w:val="center"/>
        <w:rPr>
          <w:rStyle w:val="1045"/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 </w:t>
      </w:r>
      <w:r>
        <w:rPr>
          <w:rStyle w:val="1045"/>
          <w:rFonts w:ascii="FreeSerif" w:hAnsi="FreeSerif" w:eastAsia="FreeSerif" w:cs="FreeSerif"/>
          <w:sz w:val="28"/>
          <w:szCs w:val="28"/>
        </w:rPr>
        <w:t xml:space="preserve">утверждении Положения о размещении </w:t>
      </w:r>
      <w:r>
        <w:rPr>
          <w:rStyle w:val="1045"/>
          <w:rFonts w:ascii="FreeSerif" w:hAnsi="FreeSerif" w:eastAsia="FreeSerif" w:cs="FreeSerif"/>
          <w:sz w:val="28"/>
          <w:szCs w:val="28"/>
        </w:rPr>
      </w:r>
      <w:r>
        <w:rPr>
          <w:rStyle w:val="1045"/>
          <w:rFonts w:ascii="FreeSerif" w:hAnsi="FreeSerif" w:eastAsia="FreeSerif" w:cs="FreeSerif"/>
          <w:sz w:val="28"/>
          <w:szCs w:val="28"/>
        </w:rPr>
      </w:r>
    </w:p>
    <w:p>
      <w:pPr>
        <w:pStyle w:val="876"/>
        <w:jc w:val="center"/>
        <w:rPr>
          <w:rStyle w:val="1045"/>
          <w:rFonts w:ascii="FreeSerif" w:hAnsi="FreeSerif" w:eastAsia="FreeSerif" w:cs="FreeSerif"/>
          <w:sz w:val="28"/>
          <w:szCs w:val="28"/>
        </w:rPr>
      </w:pPr>
      <w:r>
        <w:rPr>
          <w:rStyle w:val="1045"/>
          <w:rFonts w:ascii="FreeSerif" w:hAnsi="FreeSerif" w:eastAsia="FreeSerif" w:cs="FreeSerif"/>
          <w:sz w:val="28"/>
          <w:szCs w:val="28"/>
        </w:rPr>
        <w:t xml:space="preserve">нестационарных торговых объектов, нестационарных </w:t>
      </w:r>
      <w:r>
        <w:rPr>
          <w:rStyle w:val="1045"/>
          <w:rFonts w:ascii="FreeSerif" w:hAnsi="FreeSerif" w:eastAsia="FreeSerif" w:cs="FreeSerif"/>
          <w:sz w:val="28"/>
          <w:szCs w:val="28"/>
        </w:rPr>
      </w:r>
      <w:r>
        <w:rPr>
          <w:rStyle w:val="1045"/>
          <w:rFonts w:ascii="FreeSerif" w:hAnsi="FreeSerif" w:eastAsia="FreeSerif" w:cs="FreeSerif"/>
          <w:sz w:val="28"/>
          <w:szCs w:val="28"/>
        </w:rPr>
      </w:r>
    </w:p>
    <w:p>
      <w:pPr>
        <w:pStyle w:val="876"/>
        <w:jc w:val="center"/>
        <w:rPr>
          <w:rStyle w:val="1045"/>
          <w:rFonts w:ascii="FreeSerif" w:hAnsi="FreeSerif" w:eastAsia="FreeSerif" w:cs="FreeSerif"/>
          <w:sz w:val="28"/>
          <w:szCs w:val="28"/>
        </w:rPr>
      </w:pPr>
      <w:r>
        <w:rPr>
          <w:rStyle w:val="1045"/>
          <w:rFonts w:ascii="FreeSerif" w:hAnsi="FreeSerif" w:eastAsia="FreeSerif" w:cs="FreeSerif"/>
          <w:sz w:val="28"/>
          <w:szCs w:val="28"/>
        </w:rPr>
        <w:t xml:space="preserve">объектов по оказанию услуг на территории </w:t>
      </w:r>
      <w:r>
        <w:rPr>
          <w:rStyle w:val="1045"/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</w:t>
      </w:r>
      <w:r>
        <w:rPr>
          <w:rStyle w:val="1045"/>
          <w:rFonts w:ascii="FreeSerif" w:hAnsi="FreeSerif" w:eastAsia="FreeSerif" w:cs="FreeSerif"/>
          <w:sz w:val="28"/>
          <w:szCs w:val="28"/>
        </w:rPr>
      </w:r>
      <w:r>
        <w:rPr>
          <w:rStyle w:val="1045"/>
          <w:rFonts w:ascii="FreeSerif" w:hAnsi="FreeSerif" w:eastAsia="FreeSerif" w:cs="FreeSerif"/>
          <w:sz w:val="28"/>
          <w:szCs w:val="28"/>
        </w:rPr>
      </w:r>
    </w:p>
    <w:p>
      <w:pPr>
        <w:pStyle w:val="1035"/>
        <w:jc w:val="center"/>
        <w:tabs>
          <w:tab w:val="left" w:pos="1276" w:leader="none"/>
        </w:tabs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1035"/>
        <w:tabs>
          <w:tab w:val="left" w:pos="1276" w:leader="none"/>
        </w:tabs>
        <w:rPr>
          <w:rFonts w:ascii="FreeSerif" w:hAnsi="FreeSerif" w:cs="FreeSerif"/>
          <w:sz w:val="36"/>
          <w:szCs w:val="36"/>
        </w:rPr>
      </w:pPr>
      <w:r>
        <w:rPr>
          <w:rFonts w:ascii="FreeSerif" w:hAnsi="FreeSerif" w:eastAsia="FreeSerif" w:cs="FreeSerif"/>
          <w:sz w:val="36"/>
          <w:szCs w:val="36"/>
          <w:lang w:val="ru-RU"/>
        </w:rPr>
      </w:r>
      <w:r>
        <w:rPr>
          <w:rFonts w:ascii="FreeSerif" w:hAnsi="FreeSerif" w:cs="FreeSerif"/>
          <w:sz w:val="36"/>
          <w:szCs w:val="36"/>
        </w:rPr>
      </w:r>
      <w:r>
        <w:rPr>
          <w:rFonts w:ascii="FreeSerif" w:hAnsi="FreeSerif" w:cs="FreeSerif"/>
          <w:sz w:val="36"/>
          <w:szCs w:val="36"/>
        </w:rPr>
      </w:r>
    </w:p>
    <w:p>
      <w:pPr>
        <w:pStyle w:val="876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Гражданским кодексом Российской Федерации,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31 мая 2005 г. № 879-КЗ «О государственной поли</w:t>
      </w:r>
      <w:r>
        <w:rPr>
          <w:rFonts w:ascii="FreeSerif" w:hAnsi="FreeSerif" w:eastAsia="FreeSerif" w:cs="FreeSerif"/>
          <w:sz w:val="28"/>
          <w:szCs w:val="28"/>
        </w:rPr>
        <w:t xml:space="preserve">тике Краснодарского края в сфере торговой деятельности»,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постановлением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</w:t>
      </w:r>
      <w:r>
        <w:rPr>
          <w:rFonts w:ascii="FreeSerif" w:hAnsi="FreeSerif" w:eastAsia="FreeSerif" w:cs="FreeSerif"/>
          <w:sz w:val="28"/>
          <w:szCs w:val="28"/>
        </w:rPr>
        <w:t xml:space="preserve">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 в целях создания условий для </w:t>
      </w:r>
      <w:r>
        <w:rPr>
          <w:rFonts w:ascii="FreeSerif" w:hAnsi="FreeSerif" w:eastAsia="FreeSerif" w:cs="FreeSerif"/>
          <w:sz w:val="28"/>
          <w:szCs w:val="28"/>
        </w:rPr>
        <w:t xml:space="preserve">обеспечения жителей Ленинградского муниципального округа (далее – округа) услугами, для обеспечения единого порядка размещения нестационарных торговых объектов (оказания ус</w:t>
      </w:r>
      <w:r>
        <w:rPr>
          <w:rFonts w:ascii="FreeSerif" w:hAnsi="FreeSerif" w:eastAsia="FreeSerif" w:cs="FreeSerif"/>
          <w:sz w:val="28"/>
          <w:szCs w:val="28"/>
        </w:rPr>
        <w:t xml:space="preserve">луг) на земельных участках, находящихся в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муниципальной собственности, а также земельных участках, государственная собственность на которые не разграничена, расширения реализации продукции местных и краевых сельскохозяйственных товаропроизводителей, стимули</w:t>
      </w:r>
      <w:r>
        <w:rPr>
          <w:rFonts w:ascii="FreeSerif" w:hAnsi="FreeSerif" w:eastAsia="FreeSerif" w:cs="FreeSerif"/>
          <w:sz w:val="28"/>
          <w:szCs w:val="28"/>
        </w:rPr>
        <w:t xml:space="preserve">рования торговли сельскохозяйственными и продовольственными товарами путем создания достаточного количества торговых мест,   п о с т а н о в л я ю: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38"/>
        </w:numPr>
        <w:ind w:left="0"/>
        <w:jc w:val="both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Утвердить Положение о размещении нестационарных торговых объектов, </w:t>
      </w:r>
      <w:r>
        <w:rPr>
          <w:rFonts w:ascii="FreeSerif" w:hAnsi="FreeSerif" w:eastAsia="FreeSerif" w:cs="FreeSerif"/>
          <w:sz w:val="28"/>
          <w:szCs w:val="28"/>
        </w:rPr>
        <w:t xml:space="preserve">нестационарных </w:t>
      </w:r>
      <w:r>
        <w:rPr>
          <w:rFonts w:ascii="FreeSerif" w:hAnsi="FreeSerif" w:eastAsia="FreeSerif" w:cs="FreeSerif"/>
          <w:sz w:val="28"/>
          <w:szCs w:val="28"/>
        </w:rPr>
        <w:t xml:space="preserve">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на территории Ленинградского муниципального округа (приложение)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</w:rPr>
      </w:r>
      <w:r/>
    </w:p>
    <w:p>
      <w:pPr>
        <w:pStyle w:val="87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 администрации Ленинградского муниципального округа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газете                       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 и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  <w:t xml:space="preserve">Признать утратившими силу следующие постановления: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Ленинградского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от </w:t>
      </w:r>
      <w:r>
        <w:rPr>
          <w:rFonts w:ascii="FreeSerif" w:hAnsi="FreeSerif" w:cs="FreeSerif"/>
          <w:sz w:val="28"/>
          <w:szCs w:val="28"/>
          <w:highlight w:val="none"/>
        </w:rPr>
        <w:t xml:space="preserve">17 июля 2024 № 325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Ленинградского сельского поселения Ленинградского района»;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Первомайского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</w:t>
      </w:r>
      <w:r>
        <w:rPr>
          <w:rFonts w:ascii="FreeSerif" w:hAnsi="FreeSerif" w:cs="FreeSerif"/>
          <w:sz w:val="28"/>
          <w:szCs w:val="28"/>
          <w:highlight w:val="none"/>
        </w:rPr>
        <w:t xml:space="preserve">26 августа 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56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Первомайского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Крыловского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</w:t>
      </w:r>
      <w:r>
        <w:rPr>
          <w:rFonts w:ascii="FreeSerif" w:hAnsi="FreeSerif" w:cs="FreeSerif"/>
          <w:sz w:val="28"/>
          <w:szCs w:val="28"/>
          <w:highlight w:val="none"/>
        </w:rPr>
        <w:t xml:space="preserve">23 </w:t>
      </w:r>
      <w:r>
        <w:rPr>
          <w:rFonts w:ascii="FreeSerif" w:hAnsi="FreeSerif" w:cs="FreeSerif"/>
          <w:sz w:val="28"/>
          <w:szCs w:val="28"/>
          <w:highlight w:val="none"/>
        </w:rPr>
        <w:t xml:space="preserve">августа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63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Крыловского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eastAsia="FreeSerif" w:cs="FreeSerif"/>
          <w:i w:val="0"/>
          <w:iCs w:val="0"/>
          <w:sz w:val="28"/>
          <w:szCs w:val="28"/>
        </w:rPr>
        <w:t xml:space="preserve">Восточного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06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сентября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34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Восточного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Белохуторского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27 </w:t>
      </w:r>
      <w:r>
        <w:rPr>
          <w:rFonts w:ascii="FreeSerif" w:hAnsi="FreeSerif" w:cs="FreeSerif"/>
          <w:sz w:val="28"/>
          <w:szCs w:val="28"/>
          <w:highlight w:val="none"/>
        </w:rPr>
        <w:t xml:space="preserve">августа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38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Белохуторского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Западного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29 </w:t>
      </w:r>
      <w:r>
        <w:rPr>
          <w:rFonts w:ascii="FreeSerif" w:hAnsi="FreeSerif" w:cs="FreeSerif"/>
          <w:sz w:val="28"/>
          <w:szCs w:val="28"/>
          <w:highlight w:val="none"/>
        </w:rPr>
        <w:t xml:space="preserve">августа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32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Западного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Коржовского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26 </w:t>
      </w:r>
      <w:r>
        <w:rPr>
          <w:rFonts w:ascii="FreeSerif" w:hAnsi="FreeSerif" w:cs="FreeSerif"/>
          <w:sz w:val="28"/>
          <w:szCs w:val="28"/>
          <w:highlight w:val="none"/>
        </w:rPr>
        <w:t xml:space="preserve">августа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42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Коржовского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Образцового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28 </w:t>
      </w:r>
      <w:r>
        <w:rPr>
          <w:rFonts w:ascii="FreeSerif" w:hAnsi="FreeSerif" w:cs="FreeSerif"/>
          <w:sz w:val="28"/>
          <w:szCs w:val="28"/>
          <w:highlight w:val="none"/>
        </w:rPr>
        <w:t xml:space="preserve">августа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39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Образцового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Уманского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26 </w:t>
      </w:r>
      <w:r>
        <w:rPr>
          <w:rFonts w:ascii="FreeSerif" w:hAnsi="FreeSerif" w:cs="FreeSerif"/>
          <w:sz w:val="28"/>
          <w:szCs w:val="28"/>
          <w:highlight w:val="none"/>
        </w:rPr>
        <w:t xml:space="preserve">августа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46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Уманского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Новоплатнировского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05 сентября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66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Новоплатнировского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Новоуманского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10 сентября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54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Новоуманского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56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постановление а</w:t>
      </w:r>
      <w:r>
        <w:rPr>
          <w:rFonts w:ascii="FreeSerif" w:hAnsi="FreeSerif" w:cs="FreeSerif"/>
          <w:sz w:val="28"/>
          <w:szCs w:val="28"/>
          <w:highlight w:val="none"/>
        </w:rPr>
        <w:t xml:space="preserve">дминистрации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Куликовского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 от 22 октября </w:t>
      </w:r>
      <w:r>
        <w:rPr>
          <w:rFonts w:ascii="FreeSerif" w:hAnsi="FreeSerif" w:cs="FreeSerif"/>
          <w:sz w:val="28"/>
          <w:szCs w:val="28"/>
          <w:highlight w:val="none"/>
        </w:rPr>
        <w:t xml:space="preserve">2024</w:t>
      </w:r>
      <w:r>
        <w:rPr>
          <w:rFonts w:ascii="FreeSerif" w:hAnsi="FreeSerif" w:cs="FreeSerif"/>
          <w:sz w:val="28"/>
          <w:szCs w:val="28"/>
          <w:highlight w:val="none"/>
        </w:rPr>
        <w:t xml:space="preserve"> г. № 43 «</w:t>
      </w:r>
      <w:r>
        <w:rPr>
          <w:rFonts w:ascii="FreeSerif" w:hAnsi="FreeSerif" w:cs="FreeSerif"/>
          <w:sz w:val="28"/>
          <w:szCs w:val="28"/>
          <w:highlight w:val="none"/>
        </w:rPr>
        <w:t xml:space="preserve">Об утверждении Положения о размещении нестационарных торговых объектов на территории </w:t>
      </w:r>
      <w:r>
        <w:rPr>
          <w:rFonts w:ascii="FreeSerif" w:hAnsi="FreeSerif" w:cs="FreeSerif"/>
          <w:sz w:val="28"/>
          <w:szCs w:val="28"/>
          <w:highlight w:val="none"/>
        </w:rPr>
        <w:t xml:space="preserve">Куликовского</w:t>
      </w:r>
      <w:r>
        <w:rPr>
          <w:rFonts w:ascii="FreeSerif" w:hAnsi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  <w:highlight w:val="none"/>
        </w:rPr>
        <w:t xml:space="preserve">сельского поселения Ленинградского района</w:t>
      </w:r>
      <w:r>
        <w:rPr>
          <w:rFonts w:ascii="FreeSerif" w:hAnsi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                       на заместителя главы Ленинградского муниципального округа, начальника                    финансового управления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</w:t>
      </w:r>
      <w:r>
        <w:rPr>
          <w:rFonts w:ascii="FreeSerif" w:hAnsi="FreeSerif" w:eastAsia="FreeSerif" w:cs="FreeSerif"/>
          <w:sz w:val="28"/>
          <w:szCs w:val="28"/>
        </w:rPr>
        <w:t xml:space="preserve"> со дня его официального 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Глава 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 </w:t>
        <w:tab/>
        <w:t xml:space="preserve">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Ю.Ю. Шулико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                                               постановлением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Положение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о 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размещени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нестационарных торговых объектов, нестационарных объектов по оказанию услуг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на территории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Ленинградского муниципального округа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Times New Roman" w:hAnsi="Times New Roman" w:eastAsia="Times New Roman" w:cs="Times New Roman"/>
          <w:b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undefined"/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 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Общие положе</w:t>
      </w:r>
      <w:bookmarkEnd w:id="0"/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ния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75"/>
        <w:numPr>
          <w:ilvl w:val="0"/>
          <w:numId w:val="80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стоящее Положение о размещении нестационарных торговых объектов, нестационарных объектов по оказанию услуг  в зданиях, строениях, сооружениях и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 земельных участках,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находящихся в муниципальной собственности либо государственная собственность на которые не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разграничена, расположенных на территории Ленинградского муниципального округа (далее – Положение)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разработано в соответствие с </w:t>
      </w:r>
      <w:r>
        <w:rPr>
          <w:rFonts w:ascii="FreeSerif" w:hAnsi="FreeSerif" w:eastAsia="FreeSerif" w:cs="FreeSerif"/>
          <w:sz w:val="28"/>
          <w:szCs w:val="28"/>
        </w:rPr>
        <w:t xml:space="preserve">Гражданским кодексом Российской Федерации,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со статьей 10 Федерального закона от 28 декабря 2009 г. № 381-ФЗ «Об основах государственного регулирования торговой деятельности в Российской Федерации»,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постановлением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</w:t>
      </w:r>
      <w:r>
        <w:rPr>
          <w:rFonts w:ascii="FreeSerif" w:hAnsi="FreeSerif" w:eastAsia="FreeSerif" w:cs="FreeSerif"/>
          <w:sz w:val="28"/>
          <w:szCs w:val="28"/>
        </w:rPr>
        <w:t xml:space="preserve">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 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регулирует правоотношения, связанные с размещением нестационарных торговых объектов на территории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Ленинградского муниципального округа     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далее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округ)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Положение распространяется на отношения, связанные с размещением нестационарных торговых объектов, нестационарных объектов по оказанию услуг в зданиях, строениях, сооружениях и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 земельных участках,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находящихся в муниципальной собственности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, на землях общего пользования, а также земельных участках государственная собственность на которые не разграничена (далее – НТО).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undefined"/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75"/>
        <w:numPr>
          <w:ilvl w:val="0"/>
          <w:numId w:val="80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Для целей настоящего Положения используются следующие понятия: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Нестационарный торговый объект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торговый объект, представляющий собой временное сооружение или временную конструкцию, не связанный прочно с земельным участком вне зависимости от наличия или отсутствия подключения (технологического присоединения) к сетям  инженерно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- технического обеспечения, в том числе передвижное сооружение.</w:t>
      </w:r>
      <w:bookmarkEnd w:id="0"/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Автомагазин (торговый автофургон, автолавка)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овки (или установки) одного или нескольких рабочих мест продавцов, на котором (ых) осуществляют предложение товаров, их отпуск и расчет с покупателями.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Торговый автомат (вендинговый автомат)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техническое устройство,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предназначенное для автоматизации процессов продажи, оплаты и выдачи штучных товаров в потребительской упаковке в месте нахождения устройст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ва без участия продавца.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Автоцистерна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 (молоком, квасом и другим), живой рыбой и другими гидробионтами (ракообразными, моллюсками и прочими).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Торговый павильон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 Павильон может иметь помещения для хранения товарного запаса.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Киоск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Торговая палатка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ьких рабочих мест продавцов и товарного запаса на один день торговли.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Бахчевый развал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Елочный базар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Торговая тележка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Торговая галерея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нестационарный торговый объект, выполненный в едином архитектурном стиле, состоящий из совокупности, но не более пяти (в одном ряду), специализированных павильонов или киосков, симметрично расположенных напротив друг друга, обеспечивающих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беспрепятственный проход для покупателей, объединенных под единой временной светопрозрачной кровлей, не несущей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теплоизоляционную функцию.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876"/>
        <w:ind w:left="0" w:right="0" w:firstLine="709"/>
        <w:jc w:val="both"/>
        <w:rPr>
          <w:rFonts w:ascii="FreeSerif" w:hAnsi="FreeSerif" w:cs="FreeSerif"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vanish w:val="0"/>
          <w:sz w:val="28"/>
          <w:szCs w:val="28"/>
          <w:highlight w:val="none"/>
          <w:rtl w:val="0"/>
          <w:cs w:val="0"/>
          <w:lang w:val="en-US" w:eastAsia="zh-CN" w:bidi="ar-SA"/>
        </w:rPr>
        <w:t xml:space="preserve">Иные нестационарные объекты - услуги развлекательного характера, платежные </w:t>
      </w:r>
      <w:r>
        <w:rPr>
          <w:rFonts w:ascii="FreeSerif" w:hAnsi="FreeSerif" w:eastAsia="FreeSerif" w:cs="FreeSerif"/>
          <w:vanish w:val="0"/>
          <w:sz w:val="28"/>
          <w:szCs w:val="28"/>
          <w:highlight w:val="none"/>
          <w:rtl w:val="0"/>
          <w:cs w:val="0"/>
          <w:lang w:val="en-US" w:eastAsia="zh-CN" w:bidi="ar-SA"/>
        </w:rPr>
        <w:t xml:space="preserve">терминалы, объекты оказания социально-значимых бытовых услуг.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Мелкорозничная торговля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разновидность розничной торговли,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Развозная торговля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форма мелкорозничной торговли, осуществляемая вне стационарной торговой сети,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ко в комплекте с транспортным средством. К развозной торговле относят торговлю с использованием автомобиля: автолавки, автофургона, тонара, автоприцепа, автоцистерны, магазина-вагона, магазина-судна.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Разносная торговля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форма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дому или улице. К разносной торговле относят торговлю с рук, ручных теле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жек, через прилавки, из корзин и иных специальных приспособлений для демонстрации, удобства переноски и продажи товаров.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Летняя площадка (кафе)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специально оборудованное временное сооружение, в том числе при стационарном объекте торговли или общественного питания, представляющее собой площадку для размещения предприятия общественного питания для дополнительного обслуживания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питанием и (или без) отдыха потребителей.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Пункт быстрого питания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павильон или киоск, специализирующийся на продаже и производстве готовых к употреблению пищевых продуктов.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Специализация нестационарного торгового объекта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 осуществлении торговой деятельности в нестационарном торговом объекте должна соблюдаться специализация торгового объекта.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Уполномоченный орган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– сектор потребительской сферы отдела экономики администрации Ленинградского муниципального округа (далее – сектор).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Хозяйствующий субъект - юридические лица и индивидуальные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предприниматели, осуществляющие розничную торговлю, оказание услуг,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зарегистрированные в установленном законом порядке.</w:t>
      </w:r>
      <w:r/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Товаропроизводитель - физическое лицо, юридическое лицо, индивидуальный предприниматель, осуществляющие производство товара.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Нестационарные торговые объекты не подлежат техническому учёту в бюро технической инвентаризации, права на них не подлежат государственной  регистрации в Едином государственном реестре недвижимости.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Схема размещения нестационарных торговых объектов, объектов по оказанию услуг общественного питания и бытового обслуживания (далее - Схема) - документ, состоящ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ий из двух частей, графической и текстовой, содержащий сведения о размещении нестационарных торговых объектов, нестационарных объектов по оказанию услуг общественного питания и бытового обслуживания на территории Ленинградского муниципального округа.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875"/>
        <w:numPr>
          <w:ilvl w:val="0"/>
          <w:numId w:val="80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Размещение нестационарных торговых объектов на территории округа осуществляется в соответствии со Схемой с учетом необходимости обеспечения устойчивого развития территорий, в том числе исключ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ения негативного влияния объектов на пешеходную и транспортную инфраструктуру, и достижения установленных п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остановлением Губернатора Краснодарского края от 6 сентября 2023 г. № 678 «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 утверждении значений коэффициентов, используемых для расчета нормативов минимальной обеспеченности населения Краснодарского края площадью торговых объектов, и нормативов минимальной обеспеченности населения Краснодарского края площадью торговых объектов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нормативов минимальной обеспеченности населения площадью торговых объе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ктов на территории Ленинградского муниципального округа.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5"/>
        <w:numPr>
          <w:ilvl w:val="0"/>
          <w:numId w:val="80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Схема разрабатывается и утверждается администрацией  Ленинградского муниципального округа.</w:t>
      </w:r>
      <w:r/>
    </w:p>
    <w:p>
      <w:pPr>
        <w:pStyle w:val="853"/>
        <w:numPr>
          <w:ilvl w:val="0"/>
          <w:numId w:val="80"/>
        </w:numPr>
        <w:ind w:left="0" w:right="0" w:firstLine="709"/>
        <w:jc w:val="both"/>
        <w:widowControl w:val="off"/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shd w:val="clear" w:color="auto" w:fill="ffffff"/>
        </w:rPr>
        <w:t xml:space="preserve">Размещение НТО осуществляется по результатам проведения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shd w:val="clear" w:color="auto" w:fill="ffffff"/>
        </w:rPr>
        <w:t xml:space="preserve">открытого аукциона в электронной форме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shd w:val="clear" w:color="auto" w:fill="ffffff"/>
        </w:rPr>
        <w:t xml:space="preserve"> по предоставлению права на размещение НТО на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территории Ленинградского муниципального округа    (далее -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Аукцион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numPr>
          <w:ilvl w:val="0"/>
          <w:numId w:val="80"/>
        </w:numPr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bCs/>
          <w:sz w:val="28"/>
          <w:szCs w:val="28"/>
        </w:rPr>
        <w:t xml:space="preserve">Требования, установленные настоящим Положением, не распространяются на следующие виды правоотношений: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3"/>
        <w:ind w:left="0" w:right="0" w:firstLine="709"/>
        <w:jc w:val="both"/>
        <w:widowControl w:val="off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размещение и использование НТО в стационарных торговых объектах, в  зданиях, строениях, сооружениях или на земельных участках, находящихся в частной собственности;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53"/>
        <w:ind w:left="0" w:right="0" w:firstLine="709"/>
        <w:jc w:val="both"/>
        <w:widowControl w:val="off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размещение НТО,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2. Требования к размещению и эксплуатации НТО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Размещение НТО, за исключением праздничных мероприятий, имеющих краткосрочный характер, осуществляется в местах, определённых Схемой.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 осуществлении торговой деятельности в НТО должна соблюдаться специализация НТО.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Внешний вид НТО должен соответствовать эскизу 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дизайн-проекту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согласованному с отделом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архитектуры администрации Ленинградского муниципального округа.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Допускается согласование отделом архитектуры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администрации 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нетипового проекта НТО с целью не нарушения общего стиля застройки.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14:ligatures w14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По завершении работ по ра</w:t>
      </w:r>
      <w:r>
        <w:rPr>
          <w:rFonts w:ascii="FreeSerif" w:hAnsi="FreeSerif" w:eastAsia="FreeSerif" w:cs="FreeSerif"/>
          <w:sz w:val="28"/>
          <w:szCs w:val="28"/>
        </w:rPr>
        <w:t xml:space="preserve">змещению несезонного НТО специалисты сектора и отдела архитектуры администрации Ленинградского муниципального округа осуществляют приёмку указанного объекта путём составления акта о приёмке выполненных работ по размещению НТО, по форме согласно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приложению  1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 </w:t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Несезонный НТО должен быть размещен хозяйствующим субъектом, получившим право на размещение такого НТО, не позднее </w:t>
      </w:r>
      <w:r>
        <w:rPr>
          <w:rFonts w:ascii="FreeSerif" w:hAnsi="FreeSerif" w:eastAsia="FreeSerif" w:cs="FreeSerif"/>
          <w:sz w:val="28"/>
          <w:szCs w:val="28"/>
        </w:rPr>
        <w:t xml:space="preserve">30 календарных дней после </w:t>
      </w:r>
      <w:r>
        <w:rPr>
          <w:rFonts w:ascii="FreeSerif" w:hAnsi="FreeSerif" w:eastAsia="FreeSerif" w:cs="FreeSerif"/>
          <w:sz w:val="28"/>
          <w:szCs w:val="28"/>
        </w:rPr>
        <w:t xml:space="preserve">получения указанного права.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 разм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сооружений.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Эксплуатация НТО и их техническая оснащённость должны отвечать санитарным, противопожарны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Транспортное обслуживание НТО может осуществляться в ночное время, не нарушая тишину и покой граждан.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Загрузка товарами павильонов, киосков и торгово-остановочных комплексов должна осуществляться только в ночное время.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Измерительные приборы, используемые в НТО, должны соответствовать области применения и классу точности, иметь необходимые оттиски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поверительных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клейм для обеспечения единства и точности измерения.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Не допускается осуществлять складирование товара, упаковок, мусора на элементах благоустройства и прилегающей к НТО территории.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Владельцы НТО обязаны обеспечить постоянный уход за внешним видом и с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одержанием своих объектов: содержать в чистоте и порядке, производить уборку и благоустройство прилегающей территории.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75"/>
        <w:numPr>
          <w:ilvl w:val="0"/>
          <w:numId w:val="81"/>
        </w:num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 целях соблюдения условий безопасности дорожного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движения и восприятия дорожной обстановки в торгово-остановочных комплексах посадочная площадка (площадка ожидания общественного пассажирского  транспорта) должна быть первым объектом по ходу движения транспорта, после которой размещаются торговые объекты.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Площади торговых объектов, размещённых в составе торгово-остановочного комплекса, не должны превышать пятидесяти процентов общей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площади торгово-остановочного комплекса.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pStyle w:val="1047"/>
        <w:ind w:right="0"/>
        <w:jc w:val="center"/>
        <w:widowControl w:val="off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Сроки действия договоров о предоставлении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47"/>
        <w:ind w:left="0" w:right="0" w:firstLine="0"/>
        <w:jc w:val="center"/>
        <w:widowControl w:val="off"/>
        <w:tabs>
          <w:tab w:val="left" w:pos="851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права на размещение НТО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1047"/>
        <w:ind w:left="0" w:right="0" w:firstLine="0"/>
        <w:jc w:val="center"/>
        <w:widowControl w:val="off"/>
        <w:tabs>
          <w:tab w:val="left" w:pos="851" w:leader="none"/>
        </w:tabs>
        <w:rPr>
          <w:rFonts w:ascii="FreeSerif" w:hAnsi="FreeSerif" w:cs="FreeSerif"/>
          <w:b/>
          <w:bCs/>
          <w:sz w:val="18"/>
          <w:szCs w:val="18"/>
        </w:rPr>
        <w:outlineLvl w:val="0"/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18"/>
          <w:szCs w:val="18"/>
        </w:rPr>
      </w:r>
      <w:r>
        <w:rPr>
          <w:rFonts w:ascii="FreeSerif" w:hAnsi="FreeSerif" w:cs="FreeSerif"/>
          <w:b/>
          <w:bCs/>
          <w:sz w:val="18"/>
          <w:szCs w:val="18"/>
        </w:rPr>
      </w:r>
    </w:p>
    <w:p>
      <w:pPr>
        <w:pStyle w:val="853"/>
        <w:numPr>
          <w:ilvl w:val="0"/>
          <w:numId w:val="82"/>
        </w:numPr>
        <w:ind w:left="0" w:right="-35" w:firstLine="709"/>
        <w:jc w:val="both"/>
        <w:widowControl w:val="off"/>
        <w:tabs>
          <w:tab w:val="left" w:pos="974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Период функционирования устанавливается в Схе</w:t>
      </w:r>
      <w:r>
        <w:rPr>
          <w:rFonts w:ascii="FreeSerif" w:hAnsi="FreeSerif" w:eastAsia="FreeSerif" w:cs="FreeSerif"/>
          <w:sz w:val="28"/>
          <w:szCs w:val="28"/>
        </w:rPr>
        <w:t xml:space="preserve">ме для каждого места размещения НТО с учетом следующих особенностей в отношении размещения отдельных видов НТО: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5"/>
        <w:numPr>
          <w:ilvl w:val="0"/>
          <w:numId w:val="83"/>
        </w:numPr>
        <w:contextualSpacing w:val="0"/>
        <w:ind w:left="0" w:right="0" w:firstLine="992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рок предоставления права на размещение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сезонных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НТО устанавливается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объекты, функционирующие в весенне-летний период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 1 апреля по 31 октября;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объекты по реализации бахчевых культур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 1 ию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я по 31 октября;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объекты по реализации кваса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- с 1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апреля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по 31 октября;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объекты, функционирующие в осенне-зимний период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 1 ноября по 31 марта;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объекты по реализации хвойных деревьев 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 1 декабря по 31 декабря;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объекты, функционирующие во время проведения праздничных (торжественных) мероприятий,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имеющих краткосрочный характер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(без проведения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укциона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)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до 10 дней;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875"/>
        <w:numPr>
          <w:ilvl w:val="0"/>
          <w:numId w:val="83"/>
        </w:numPr>
        <w:contextualSpacing w:val="0"/>
        <w:ind w:left="0" w:right="0" w:firstLine="992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для иных НТО - круглогодично, </w:t>
      </w:r>
      <w:r>
        <w:rPr>
          <w:rFonts w:ascii="FreeSerif" w:hAnsi="FreeSerif" w:eastAsia="FreeSerif" w:cs="FreeSerif"/>
          <w:sz w:val="28"/>
          <w:szCs w:val="28"/>
        </w:rPr>
        <w:t xml:space="preserve">с правом пролонгации не более двух раз подряд</w:t>
      </w:r>
      <w:r>
        <w:rPr>
          <w:rFonts w:ascii="FreeSerif" w:hAnsi="FreeSerif" w:eastAsia="FreeSerif" w:cs="FreeSerif"/>
          <w:sz w:val="28"/>
          <w:szCs w:val="28"/>
        </w:rPr>
        <w:t xml:space="preserve">  - до 7 лет.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1047"/>
        <w:ind w:left="0" w:right="0" w:firstLine="0"/>
        <w:jc w:val="center"/>
        <w:widowControl w:val="off"/>
        <w:tabs>
          <w:tab w:val="left" w:pos="851" w:leader="none"/>
        </w:tabs>
        <w:rPr>
          <w:rFonts w:ascii="FreeSerif" w:hAnsi="FreeSerif" w:cs="FreeSerif"/>
          <w:sz w:val="20"/>
          <w:szCs w:val="20"/>
        </w:rPr>
        <w:outlineLvl w:val="0"/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</w:p>
    <w:p>
      <w:pPr>
        <w:pStyle w:val="1047"/>
        <w:ind w:left="0" w:right="0" w:firstLine="0"/>
        <w:jc w:val="center"/>
        <w:widowControl w:val="off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 </w:t>
      </w:r>
      <w:bookmarkStart w:id="0" w:name="undefined"/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Проведение мероприятий по проверке соблюдения стороной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47"/>
        <w:ind w:left="0" w:right="0" w:firstLine="0"/>
        <w:jc w:val="center"/>
        <w:widowControl w:val="off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договора условий договора и требований к размещению 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47"/>
        <w:ind w:left="0" w:right="0" w:firstLine="0"/>
        <w:jc w:val="center"/>
        <w:widowControl w:val="off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эксплуатации НТО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3"/>
        <w:ind w:left="0" w:right="0" w:firstLine="0"/>
        <w:jc w:val="center"/>
        <w:widowControl w:val="off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sz w:val="28"/>
          <w:szCs w:val="28"/>
        </w:rPr>
        <w:t xml:space="preserve">Мероприятия по проверке соблюдения стороной договора условий договора (далее – мероприятия) осуществляются  специалистами сектора.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Целью проведения мероприятий является обеспечение соблюдения требований, установленных договором.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Задачей проведения мероприятий является предупреждение, выявление и пресечение нарушений условий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В рамках соблюдения стороной условий договора о предоставлении права на размещение НТО допускается проведение мероприятий</w:t>
      </w:r>
      <w:bookmarkEnd w:id="0"/>
      <w:r>
        <w:rPr>
          <w:rFonts w:ascii="FreeSerif" w:hAnsi="FreeSerif" w:eastAsia="FreeSerif" w:cs="FreeSerif"/>
          <w:sz w:val="28"/>
        </w:rPr>
        <w:t xml:space="preserve"> по мере необходимости, на основании информации, содержащей сведения о нарушениях требований законодательства при размещении НТО, поступившей от граждан</w:t>
      </w:r>
      <w:r>
        <w:rPr>
          <w:rFonts w:ascii="FreeSerif" w:hAnsi="FreeSerif" w:eastAsia="FreeSerif" w:cs="FreeSerif"/>
          <w:sz w:val="28"/>
        </w:rPr>
        <w:t xml:space="preserve">, индивидуальных предпринимателей, юридических лиц, органов государственной власти, органов местного самоуправления, средств массовой информации, содержащейся в открытых и общедоступных информационных ресурсах, в результате фактически выявленных нарушений.</w:t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  <w:t xml:space="preserve">Мероприятия, указанные в </w:t>
      </w:r>
      <w:r>
        <w:rPr>
          <w:rFonts w:ascii="FreeSerif" w:hAnsi="FreeSerif" w:eastAsia="FreeSerif" w:cs="FreeSerif"/>
          <w:sz w:val="28"/>
        </w:rPr>
        <w:t xml:space="preserve">п</w:t>
      </w:r>
      <w:r>
        <w:rPr>
          <w:rFonts w:ascii="FreeSerif" w:hAnsi="FreeSerif" w:eastAsia="FreeSerif" w:cs="FreeSerif"/>
          <w:sz w:val="28"/>
        </w:rPr>
        <w:t xml:space="preserve">ункте</w:t>
      </w:r>
      <w:r>
        <w:rPr>
          <w:rFonts w:ascii="FreeSerif" w:hAnsi="FreeSerif" w:eastAsia="FreeSerif" w:cs="FreeSerif"/>
          <w:sz w:val="28"/>
        </w:rPr>
        <w:t xml:space="preserve"> 4.4 </w:t>
      </w:r>
      <w:r>
        <w:rPr>
          <w:rFonts w:ascii="FreeSerif" w:hAnsi="FreeSerif" w:eastAsia="FreeSerif" w:cs="FreeSerif"/>
          <w:sz w:val="28"/>
        </w:rPr>
        <w:t xml:space="preserve">настояще</w:t>
      </w:r>
      <w:r>
        <w:rPr>
          <w:rFonts w:ascii="FreeSerif" w:hAnsi="FreeSerif" w:eastAsia="FreeSerif" w:cs="FreeSerif"/>
          <w:sz w:val="28"/>
        </w:rPr>
        <w:t xml:space="preserve">го</w:t>
      </w:r>
      <w:r>
        <w:rPr>
          <w:rFonts w:ascii="FreeSerif" w:hAnsi="FreeSerif" w:eastAsia="FreeSerif" w:cs="FreeSerif"/>
          <w:sz w:val="28"/>
        </w:rPr>
        <w:t xml:space="preserve"> Положени</w:t>
      </w:r>
      <w:r>
        <w:rPr>
          <w:rFonts w:ascii="FreeSerif" w:hAnsi="FreeSerif" w:eastAsia="FreeSerif" w:cs="FreeSerif"/>
          <w:sz w:val="28"/>
        </w:rPr>
        <w:t xml:space="preserve">я</w:t>
      </w:r>
      <w:r>
        <w:rPr>
          <w:rFonts w:ascii="FreeSerif" w:hAnsi="FreeSerif" w:eastAsia="FreeSerif" w:cs="FreeSerif"/>
          <w:sz w:val="28"/>
        </w:rPr>
        <w:t xml:space="preserve">, проводятся в срок не позднее 10 рабочих дней с момента поступления информации, указанной в  пункте 4.4. настоящего Положения, в сектор</w:t>
      </w:r>
      <w:r>
        <w:rPr>
          <w:rFonts w:ascii="FreeSerif" w:hAnsi="FreeSerif" w:eastAsia="FreeSerif" w:cs="FreeSerif"/>
          <w:sz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  <w:t xml:space="preserve">Мероприятия, указанные в </w:t>
      </w:r>
      <w:r>
        <w:rPr>
          <w:rFonts w:ascii="FreeSerif" w:hAnsi="FreeSerif" w:eastAsia="FreeSerif" w:cs="FreeSerif"/>
          <w:sz w:val="28"/>
        </w:rPr>
        <w:t xml:space="preserve">пункте  4.4.</w:t>
      </w:r>
      <w:r>
        <w:rPr>
          <w:rFonts w:ascii="FreeSerif" w:hAnsi="FreeSerif" w:eastAsia="FreeSerif" w:cs="FreeSerif"/>
          <w:sz w:val="28"/>
        </w:rPr>
        <w:t xml:space="preserve"> настояще</w:t>
      </w:r>
      <w:r>
        <w:rPr>
          <w:rFonts w:ascii="FreeSerif" w:hAnsi="FreeSerif" w:eastAsia="FreeSerif" w:cs="FreeSerif"/>
          <w:sz w:val="28"/>
        </w:rPr>
        <w:t xml:space="preserve">го</w:t>
      </w:r>
      <w:r>
        <w:rPr>
          <w:rFonts w:ascii="FreeSerif" w:hAnsi="FreeSerif" w:eastAsia="FreeSerif" w:cs="FreeSerif"/>
          <w:sz w:val="28"/>
        </w:rPr>
        <w:t xml:space="preserve"> Положени</w:t>
      </w:r>
      <w:r>
        <w:rPr>
          <w:rFonts w:ascii="FreeSerif" w:hAnsi="FreeSerif" w:eastAsia="FreeSerif" w:cs="FreeSerif"/>
          <w:sz w:val="28"/>
        </w:rPr>
        <w:t xml:space="preserve">я</w:t>
      </w:r>
      <w:r>
        <w:rPr>
          <w:rFonts w:ascii="FreeSerif" w:hAnsi="FreeSerif" w:eastAsia="FreeSerif" w:cs="FreeSerif"/>
          <w:sz w:val="28"/>
        </w:rPr>
        <w:t xml:space="preserve">, проводятся посредством выезда на место размещения НТО. Предварительное уведомление стороны договора о проведении данных мероприятий не требуется.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  <w:t xml:space="preserve">Сектор имеет право запрашивать у стороны договора документы и сведения, предусмотренные условиями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В ходе проведения указанных мероприятий с</w:t>
      </w:r>
      <w:r>
        <w:rPr>
          <w:rFonts w:ascii="FreeSerif" w:hAnsi="FreeSerif" w:eastAsia="FreeSerif" w:cs="FreeSerif"/>
          <w:sz w:val="28"/>
        </w:rPr>
        <w:t xml:space="preserve">ектором </w:t>
      </w:r>
      <w:r>
        <w:rPr>
          <w:rFonts w:ascii="FreeSerif" w:hAnsi="FreeSerif" w:eastAsia="FreeSerif" w:cs="FreeSerif"/>
          <w:sz w:val="28"/>
        </w:rPr>
        <w:t xml:space="preserve">в пределах срока, установленного в  настоящем Положении, осуществляется анализ документов и сведений, предусмотренных настоящим Положением и представленных с</w:t>
      </w:r>
      <w:r>
        <w:rPr>
          <w:rFonts w:ascii="FreeSerif" w:hAnsi="FreeSerif" w:eastAsia="FreeSerif" w:cs="FreeSerif"/>
          <w:sz w:val="28"/>
        </w:rPr>
        <w:t xml:space="preserve">ектору</w:t>
      </w:r>
      <w:r>
        <w:rPr>
          <w:rFonts w:ascii="FreeSerif" w:hAnsi="FreeSerif" w:eastAsia="FreeSerif" w:cs="FreeSerif"/>
          <w:sz w:val="28"/>
        </w:rPr>
        <w:t xml:space="preserve"> стороной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При выезде специалист сектора</w:t>
      </w:r>
      <w:r>
        <w:rPr>
          <w:rFonts w:ascii="FreeSerif" w:hAnsi="FreeSerif" w:eastAsia="FreeSerif" w:cs="FreeSerif"/>
          <w:sz w:val="28"/>
          <w:szCs w:val="28"/>
        </w:rPr>
        <w:t xml:space="preserve"> обязан иметь при себе служебное удостоверение, выданное администрацией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В ходе обследования НТО специалисты сектора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вправе применять технические средства аудио-, фото-, видеофиксации, а также иные средства фиксации, результаты которых прикладываются к акту обследования нестационарного торгового объекта на предмет выполнения стороной т</w:t>
      </w:r>
      <w:r>
        <w:rPr>
          <w:rFonts w:ascii="FreeSerif" w:hAnsi="FreeSerif" w:eastAsia="FreeSerif" w:cs="FreeSerif"/>
          <w:sz w:val="28"/>
          <w:szCs w:val="28"/>
        </w:rPr>
        <w:t xml:space="preserve">ребований договора о предоставлении права на размещение нестационарного торгового объекта на территории Ленинградского муниципального округа, утверждённому по форме, согласно приложению 2 к настоящему Положению (далее – акт обследования).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Акт обследования оформляется специалистом сектора в день выезда по результатам обследования НТО непосредственно на месте размещения НТО.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Специалист сектора</w:t>
      </w:r>
      <w:r>
        <w:rPr>
          <w:rFonts w:ascii="FreeSerif" w:hAnsi="FreeSerif" w:eastAsia="FreeSerif" w:cs="FreeSerif"/>
          <w:sz w:val="28"/>
        </w:rPr>
        <w:t xml:space="preserve"> обязан ознакомить сторону договора с актом обследования. В целях ознакомления с актом обследования с</w:t>
      </w:r>
      <w:r>
        <w:rPr>
          <w:rFonts w:ascii="FreeSerif" w:hAnsi="FreeSerif" w:eastAsia="FreeSerif" w:cs="FreeSerif"/>
          <w:sz w:val="28"/>
          <w:szCs w:val="28"/>
        </w:rPr>
        <w:t xml:space="preserve">пециалист сектора</w:t>
      </w:r>
      <w:r>
        <w:rPr>
          <w:rFonts w:ascii="FreeSerif" w:hAnsi="FreeSerif" w:eastAsia="FreeSerif" w:cs="FreeSerif"/>
          <w:sz w:val="28"/>
        </w:rPr>
        <w:t xml:space="preserve"> направляет стороне договора копию акта обследования посредством почты, электронной почты в срок не позднее 3 рабочих дней с даты составления акта обследования.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Акт обследования приобщается к экземпляру договора, хранящемуся в секторе.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При выявлении нарушений условий договора, отражённых в акте обследования, специалистом сектора в срок не поз</w:t>
      </w:r>
      <w:r>
        <w:rPr>
          <w:rFonts w:ascii="FreeSerif" w:hAnsi="FreeSerif" w:eastAsia="FreeSerif" w:cs="FreeSerif"/>
          <w:sz w:val="28"/>
          <w:szCs w:val="28"/>
        </w:rPr>
        <w:t xml:space="preserve">днее 5</w:t>
      </w:r>
      <w:r>
        <w:rPr>
          <w:rFonts w:ascii="FreeSerif" w:hAnsi="FreeSerif" w:eastAsia="FreeSerif" w:cs="FreeSerif"/>
          <w:sz w:val="28"/>
          <w:szCs w:val="28"/>
        </w:rPr>
        <w:t xml:space="preserve"> рабочих дней с момента завершения проверки готовится уведомление, которое подписывается </w:t>
      </w:r>
      <w:r>
        <w:rPr>
          <w:rFonts w:ascii="FreeSerif" w:hAnsi="FreeSerif" w:eastAsia="FreeSerif" w:cs="FreeSerif"/>
          <w:sz w:val="28"/>
          <w:szCs w:val="28"/>
        </w:rPr>
        <w:t xml:space="preserve">заместителем главы Ленинградского муниципального округа, курирующего вопросы потребительской сферы, </w:t>
      </w:r>
      <w:r>
        <w:rPr>
          <w:rFonts w:ascii="FreeSerif" w:hAnsi="FreeSerif" w:eastAsia="FreeSerif" w:cs="FreeSerif"/>
          <w:sz w:val="28"/>
          <w:szCs w:val="28"/>
        </w:rPr>
        <w:t xml:space="preserve">и вручается стороне договора нарочно, либо посредством направления почтовым отправлением, электронной почтой.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При обнаружении в НТО признаков нарушений требований </w:t>
      </w:r>
      <w:r>
        <w:rPr>
          <w:rFonts w:ascii="FreeSerif" w:hAnsi="FreeSerif" w:eastAsia="FreeSerif" w:cs="FreeSerif"/>
          <w:sz w:val="28"/>
          <w:szCs w:val="28"/>
        </w:rPr>
        <w:t xml:space="preserve">законодательства Российской Федерации, сектор</w:t>
      </w:r>
      <w:r>
        <w:rPr>
          <w:rFonts w:ascii="FreeSerif" w:hAnsi="FreeSerif" w:eastAsia="FreeSerif" w:cs="FreeSerif"/>
          <w:sz w:val="28"/>
          <w:szCs w:val="28"/>
        </w:rPr>
        <w:t xml:space="preserve"> направляет информацию в соответствующие контрольно-надзорные органы, с целью принятия мер в пределах установленной компетенции.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Сторона договора своими силами и за свой счёт устраняет все обнаруженные нарушения, указанные в уведомлении, в следующие сроки: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тридцатидневный срок при необходимости проведения работ по реконструкции НТО;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пятидневный срок для остальных нарушений.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sz w:val="28"/>
          <w:szCs w:val="28"/>
        </w:rPr>
        <w:t xml:space="preserve">В целях обеспечения контроля за исполнением требований </w:t>
      </w:r>
      <w:r>
        <w:rPr>
          <w:rFonts w:ascii="FreeSerif" w:hAnsi="FreeSerif" w:eastAsia="FreeSerif" w:cs="FreeSerif"/>
          <w:sz w:val="28"/>
          <w:szCs w:val="28"/>
        </w:rPr>
        <w:t xml:space="preserve">уведомления, сектор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не позднее 30</w:t>
      </w:r>
      <w:r>
        <w:rPr>
          <w:rFonts w:ascii="FreeSerif" w:hAnsi="FreeSerif" w:eastAsia="FreeSerif" w:cs="FreeSerif"/>
          <w:sz w:val="28"/>
          <w:szCs w:val="28"/>
        </w:rPr>
        <w:t xml:space="preserve"> рабочих дней со дня окончания установленного на исполнение требований уведомления срока осуществляет контроль исполнения требований уведомления, в том числе путём повторного выезда с составлением акта обследования.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Под неисполнением в срок требований уведомления понимается исполнение требований уведомления частично, уклонение от исполнения, непредставление (несвоевременное представление) документов, подтверждающих исполнение.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не устранения в ср</w:t>
      </w:r>
      <w:r>
        <w:rPr>
          <w:rFonts w:ascii="FreeSerif" w:hAnsi="FreeSerif" w:eastAsia="FreeSerif" w:cs="FreeSerif"/>
          <w:sz w:val="28"/>
          <w:szCs w:val="28"/>
        </w:rPr>
        <w:t xml:space="preserve">ок выявленных нарушений сектор</w:t>
      </w:r>
      <w:r>
        <w:rPr>
          <w:rFonts w:ascii="FreeSerif" w:hAnsi="FreeSerif" w:eastAsia="FreeSerif" w:cs="FreeSerif"/>
          <w:sz w:val="28"/>
          <w:szCs w:val="28"/>
        </w:rPr>
        <w:t xml:space="preserve"> инициирует досрочное расторжение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Уведомление о досрочном расторжении договора, вручается стороне договора нарочно, либо способом, оговоренным договором, а его копия приобщается к экземпляру договора, хранящемуся в секторе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numPr>
          <w:ilvl w:val="0"/>
          <w:numId w:val="8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 истечении 10</w:t>
      </w:r>
      <w:r>
        <w:rPr>
          <w:rFonts w:ascii="FreeSerif" w:hAnsi="FreeSerif" w:eastAsia="FreeSerif" w:cs="FreeSerif"/>
          <w:sz w:val="28"/>
          <w:szCs w:val="28"/>
        </w:rPr>
        <w:t xml:space="preserve">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811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811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Положению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 размещении нестационарных торговых объектов, нестационарных объектов по оказанию услуг на территории Ленинградского муниципального округа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765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7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6"/>
        <w:jc w:val="center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приемке выполненных работ по размещению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6"/>
        <w:jc w:val="center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(реконструкции) нестационарного торгового объекта (НТО)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6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Краснодарский край</w:t>
        <w:tab/>
        <w:tab/>
        <w:tab/>
        <w:tab/>
        <w:tab/>
        <w:tab/>
        <w:t xml:space="preserve">«___»___________202_г.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2"/>
          <w:szCs w:val="22"/>
        </w:rPr>
        <w:t xml:space="preserve">(станица, поселок, хутор)</w:t>
      </w:r>
      <w:r>
        <w:rPr>
          <w:rFonts w:ascii="FreeSerif" w:hAnsi="FreeSerif" w:eastAsia="FreeSerif" w:cs="FreeSerif"/>
          <w:sz w:val="28"/>
          <w:szCs w:val="28"/>
        </w:rPr>
        <w:tab/>
        <w:tab/>
        <w:tab/>
        <w:tab/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Наименование хозяйствующего субъекта и его организационно-правовая форма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10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74"/>
      </w:tblGrid>
      <w:tr>
        <w:tblPrEx/>
        <w:trPr/>
        <w:tc>
          <w:tcPr>
            <w:tcBorders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Специализация нестационарного торгового объекта, нестационарного </w:t>
      </w:r>
      <w:r>
        <w:rPr>
          <w:rFonts w:ascii="FreeSerif" w:hAnsi="FreeSerif" w:eastAsia="FreeSerif" w:cs="FreeSerif"/>
          <w:sz w:val="28"/>
          <w:szCs w:val="28"/>
        </w:rPr>
        <w:t xml:space="preserve">объекта по оказанию услуг в соответствии с договором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Адрес (место размещения) нестационарного торгового объекта, </w:t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3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993224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522" cy="9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75pt;height:0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FreeSerif" w:hAnsi="FreeSerif" w:eastAsia="FreeSerif" w:cs="FreeSerif"/>
          <w:sz w:val="28"/>
          <w:szCs w:val="28"/>
        </w:rPr>
        <w:t xml:space="preserve">нестационарного объекта по оказанию услуг (далее - объект)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Администрацией</w:t>
      </w:r>
      <w:r>
        <w:rPr>
          <w:rFonts w:ascii="FreeSerif" w:hAnsi="FreeSerif" w:eastAsia="FreeSerif" w:cs="FreeSerif"/>
          <w:sz w:val="28"/>
          <w:szCs w:val="28"/>
        </w:rPr>
        <w:t xml:space="preserve"> 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енинградского муниципального округа в лице: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10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74"/>
      </w:tblGrid>
      <w:tr>
        <w:tblPrEx/>
        <w:trPr/>
        <w:tc>
          <w:tcPr>
            <w:tcBorders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 присутствии: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7990205</wp:posOffset>
                </wp:positionV>
                <wp:extent cx="22860" cy="13970"/>
                <wp:effectExtent l="0" t="0" r="0" b="0"/>
                <wp:wrapTopAndBottom/>
                <wp:docPr id="4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393257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2860" cy="1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524288;o:allowoverlap:true;o:allowincell:true;mso-position-horizontal-relative:page;margin-left:125.80pt;mso-position-horizontal:absolute;mso-position-vertical-relative:page;margin-top:629.15pt;mso-position-vertical:absolute;width:1.80pt;height:1.10pt;mso-wrap-distance-left:9.00pt;mso-wrap-distance-top:0.00pt;mso-wrap-distance-right:9.00pt;mso-wrap-distance-bottom:0.00pt;" stroked="f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w:rPr>
          <w:rFonts w:ascii="FreeSerif" w:hAnsi="FreeSerif" w:eastAsia="FreeSerif" w:cs="FreeSerif"/>
          <w:sz w:val="28"/>
          <w:szCs w:val="28"/>
        </w:rPr>
        <w:t xml:space="preserve">проведен осмотр НТО с целью приемки работ по размещению (реконструкции) НТО, в результате которого установлено следующее:</w:t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5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5995809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522" cy="9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75pt;height: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9482" w:type="dxa"/>
        <w:tblInd w:w="69" w:type="dxa"/>
        <w:tblLayout w:type="fixed"/>
        <w:tblCellMar>
          <w:left w:w="50" w:type="dxa"/>
          <w:top w:w="129" w:type="dxa"/>
          <w:right w:w="79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4683"/>
        <w:gridCol w:w="4019"/>
      </w:tblGrid>
      <w:tr>
        <w:tblPrEx/>
        <w:trPr>
          <w:trHeight w:val="300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п/п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Условия договора о предоставлении права на размещение нестационарного торгового объекта, нестационарного объекта по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оказанию услуг на земельном участке, в здании, строении, сооружении, находящихся в муниципальной собственности либо государственная собственность на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которые не разграничена, расположенных на территории Ленинградского муниципального округа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(далее — Договор)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Фактические данные о соблюдении (несоблюдении) условий Договора, выявленные в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ходе осмотра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Тип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70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Соответствие объекта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эскизу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(дизайн-проекту):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фасад;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кровля;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реклама;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благоустройство прилегающей территории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Специализация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1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Площадь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Наличие договора на вывоз ТБО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Соответствие фактического размещения объекта согласно заключенному Договору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лиц, производивших осмотр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2693" w:right="0" w:firstLine="0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Расшифровка подписи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Подпись лица, в присутствии которого проведено обследование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_____________ (_____________________________________________________)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0" w:right="0" w:firstLine="2693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Расшифровка подписи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53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3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811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811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Положению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 размещении нестационарных торговых объектов, нестационарных объектов по оказанию услуг на территории Ленинградского муниципального округа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765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7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6"/>
        <w:jc w:val="center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смотра нестационарного торгового объекта на предмет</w:t>
      </w:r>
      <w:r>
        <w:rPr>
          <w:b/>
          <w:bCs/>
        </w:rPr>
      </w:r>
      <w:r>
        <w:rPr>
          <w:b/>
          <w:bCs/>
        </w:rPr>
      </w:r>
    </w:p>
    <w:p>
      <w:pPr>
        <w:pStyle w:val="876"/>
        <w:jc w:val="center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выполнения участником требований договора на размещение</w:t>
      </w:r>
      <w:r>
        <w:rPr>
          <w:b/>
          <w:bCs/>
        </w:rPr>
      </w:r>
      <w:r>
        <w:rPr>
          <w:b/>
          <w:bCs/>
        </w:rPr>
      </w:r>
    </w:p>
    <w:p>
      <w:pPr>
        <w:pStyle w:val="876"/>
        <w:jc w:val="center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нестационарного торгового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6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Краснодарский край</w:t>
        <w:tab/>
        <w:tab/>
        <w:tab/>
        <w:tab/>
        <w:tab/>
        <w:tab/>
        <w:t xml:space="preserve">«___»___________202_г.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2"/>
          <w:szCs w:val="22"/>
        </w:rPr>
        <w:t xml:space="preserve">(станица, поселок, хутор)</w:t>
      </w:r>
      <w:r>
        <w:rPr>
          <w:rFonts w:ascii="FreeSerif" w:hAnsi="FreeSerif" w:eastAsia="FreeSerif" w:cs="FreeSerif"/>
          <w:sz w:val="28"/>
          <w:szCs w:val="28"/>
        </w:rPr>
        <w:tab/>
        <w:tab/>
        <w:tab/>
        <w:tab/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Наименование хозяйствующего субъекта и его организационно-правовая форма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10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74"/>
      </w:tblGrid>
      <w:tr>
        <w:tblPrEx/>
        <w:trPr/>
        <w:tc>
          <w:tcPr>
            <w:tcBorders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Специализация нестационарного торгового объекта, нестационарного </w:t>
      </w:r>
      <w:r>
        <w:rPr>
          <w:rFonts w:ascii="FreeSerif" w:hAnsi="FreeSerif" w:eastAsia="FreeSerif" w:cs="FreeSerif"/>
          <w:sz w:val="28"/>
          <w:szCs w:val="28"/>
        </w:rPr>
        <w:t xml:space="preserve">объекта по оказанию услуг в соответствии с договором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Адрес (место размещения) нестационарного торгового объекта, </w:t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6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090573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522" cy="9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0.75pt;height:0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FreeSerif" w:hAnsi="FreeSerif" w:eastAsia="FreeSerif" w:cs="FreeSerif"/>
          <w:sz w:val="28"/>
          <w:szCs w:val="28"/>
        </w:rPr>
        <w:t xml:space="preserve">нестационарного объекта по оказанию услуг (далее - объект)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Администрацией Ленинградского муниципального округа в лице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10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74"/>
      </w:tblGrid>
      <w:tr>
        <w:tblPrEx/>
        <w:trPr/>
        <w:tc>
          <w:tcPr>
            <w:tcBorders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 присутствии: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474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76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проведен осмотр нестационарного торгового объекта, нестационарного объекта по оказанию услуг на предмет соблюдения условий Договора, в результате которого установлено следующее:</w:t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7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37509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522" cy="9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0.75pt;height: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tbl>
      <w:tblPr>
        <w:tblW w:w="9482" w:type="dxa"/>
        <w:tblInd w:w="69" w:type="dxa"/>
        <w:tblLayout w:type="fixed"/>
        <w:tblCellMar>
          <w:left w:w="50" w:type="dxa"/>
          <w:top w:w="129" w:type="dxa"/>
          <w:right w:w="79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4683"/>
        <w:gridCol w:w="4019"/>
      </w:tblGrid>
      <w:tr>
        <w:tblPrEx/>
        <w:trPr>
          <w:trHeight w:val="288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п/п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Условия договора о предоставлении права на размещение нестационарного торгового объекта, нестационарного объекта по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оказанию услуг на земельном участке, в здании, строении, сооружении, находящихся в муниципальной собственности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либо государственная собственность на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которые не разграничена, расположенных на территории Ленинградского муниципального округа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(далее — Договор)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Фактические данные о соблюдении (несоблюдении) условий Договора, выявленные в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ходе осмотра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Тип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70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Соответствие объекта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эскизу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(дизайн-проекту):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фасад;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кровля;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реклама;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благоустройство прилегающей территории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Специализация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1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Площадь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Наличие договора на вывоз ТБО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64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Соответствие фактического размещения объекта согласно заключенному Договору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Подписи лиц, производивших осмотр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 (_____________________________________________________)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2693" w:right="0" w:firstLine="0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Расшифровка подписи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Подпись лица, в присутствии которого проведено обследование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_____________ (_____________________________________________________)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ind w:left="0" w:right="0" w:firstLine="2693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Расшифровка подписи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53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3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340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418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2126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8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0">
    <w:name w:val="Heading 3 Char"/>
    <w:basedOn w:val="863"/>
    <w:link w:val="856"/>
    <w:uiPriority w:val="9"/>
    <w:rPr>
      <w:rFonts w:ascii="Arial" w:hAnsi="Arial" w:eastAsia="Arial" w:cs="Arial"/>
      <w:sz w:val="30"/>
      <w:szCs w:val="30"/>
    </w:rPr>
  </w:style>
  <w:style w:type="character" w:styleId="841">
    <w:name w:val="Heading 4 Char"/>
    <w:basedOn w:val="863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842">
    <w:name w:val="Heading 5 Char"/>
    <w:basedOn w:val="863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843">
    <w:name w:val="Heading 6 Char"/>
    <w:basedOn w:val="863"/>
    <w:link w:val="859"/>
    <w:uiPriority w:val="9"/>
    <w:rPr>
      <w:rFonts w:ascii="Arial" w:hAnsi="Arial" w:eastAsia="Arial" w:cs="Arial"/>
      <w:b/>
      <w:bCs/>
      <w:sz w:val="22"/>
      <w:szCs w:val="22"/>
    </w:rPr>
  </w:style>
  <w:style w:type="character" w:styleId="844">
    <w:name w:val="Heading 7 Char"/>
    <w:basedOn w:val="863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8 Char"/>
    <w:basedOn w:val="863"/>
    <w:link w:val="861"/>
    <w:uiPriority w:val="9"/>
    <w:rPr>
      <w:rFonts w:ascii="Arial" w:hAnsi="Arial" w:eastAsia="Arial" w:cs="Arial"/>
      <w:i/>
      <w:iCs/>
      <w:sz w:val="22"/>
      <w:szCs w:val="22"/>
    </w:rPr>
  </w:style>
  <w:style w:type="character" w:styleId="846">
    <w:name w:val="Heading 9 Char"/>
    <w:basedOn w:val="863"/>
    <w:link w:val="862"/>
    <w:uiPriority w:val="9"/>
    <w:rPr>
      <w:rFonts w:ascii="Arial" w:hAnsi="Arial" w:eastAsia="Arial" w:cs="Arial"/>
      <w:i/>
      <w:iCs/>
      <w:sz w:val="21"/>
      <w:szCs w:val="21"/>
    </w:rPr>
  </w:style>
  <w:style w:type="character" w:styleId="847">
    <w:name w:val="Title Char"/>
    <w:basedOn w:val="863"/>
    <w:link w:val="877"/>
    <w:uiPriority w:val="10"/>
    <w:rPr>
      <w:sz w:val="48"/>
      <w:szCs w:val="48"/>
    </w:rPr>
  </w:style>
  <w:style w:type="character" w:styleId="848">
    <w:name w:val="Subtitle Char"/>
    <w:basedOn w:val="863"/>
    <w:link w:val="879"/>
    <w:uiPriority w:val="11"/>
    <w:rPr>
      <w:sz w:val="24"/>
      <w:szCs w:val="24"/>
    </w:rPr>
  </w:style>
  <w:style w:type="character" w:styleId="849">
    <w:name w:val="Quote Char"/>
    <w:link w:val="881"/>
    <w:uiPriority w:val="29"/>
    <w:rPr>
      <w:i/>
    </w:rPr>
  </w:style>
  <w:style w:type="character" w:styleId="850">
    <w:name w:val="Intense Quote Char"/>
    <w:link w:val="883"/>
    <w:uiPriority w:val="30"/>
    <w:rPr>
      <w:i/>
    </w:rPr>
  </w:style>
  <w:style w:type="character" w:styleId="851">
    <w:name w:val="Footnote Text Char"/>
    <w:link w:val="1018"/>
    <w:uiPriority w:val="99"/>
    <w:rPr>
      <w:sz w:val="18"/>
    </w:rPr>
  </w:style>
  <w:style w:type="character" w:styleId="852">
    <w:name w:val="Endnote Text Char"/>
    <w:link w:val="1021"/>
    <w:uiPriority w:val="99"/>
    <w:rPr>
      <w:sz w:val="20"/>
    </w:rPr>
  </w:style>
  <w:style w:type="paragraph" w:styleId="853" w:default="1">
    <w:name w:val="Normal"/>
    <w:qFormat/>
    <w:rPr>
      <w:sz w:val="24"/>
      <w:szCs w:val="24"/>
      <w:lang w:val="sr-Cyrl-CS"/>
    </w:rPr>
  </w:style>
  <w:style w:type="paragraph" w:styleId="854">
    <w:name w:val="Heading 1"/>
    <w:basedOn w:val="853"/>
    <w:next w:val="853"/>
    <w:link w:val="104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855">
    <w:name w:val="Heading 2"/>
    <w:basedOn w:val="853"/>
    <w:next w:val="853"/>
    <w:link w:val="1043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56">
    <w:name w:val="Heading 3"/>
    <w:basedOn w:val="853"/>
    <w:next w:val="853"/>
    <w:link w:val="868"/>
    <w:qFormat/>
    <w:pPr>
      <w:keepNext/>
      <w:outlineLvl w:val="2"/>
    </w:pPr>
    <w:rPr>
      <w:sz w:val="28"/>
    </w:rPr>
  </w:style>
  <w:style w:type="paragraph" w:styleId="857">
    <w:name w:val="Heading 4"/>
    <w:basedOn w:val="853"/>
    <w:next w:val="853"/>
    <w:link w:val="869"/>
    <w:qFormat/>
    <w:pPr>
      <w:jc w:val="center"/>
      <w:keepNext/>
      <w:outlineLvl w:val="3"/>
    </w:pPr>
    <w:rPr>
      <w:sz w:val="28"/>
    </w:rPr>
  </w:style>
  <w:style w:type="paragraph" w:styleId="858">
    <w:name w:val="Heading 5"/>
    <w:basedOn w:val="853"/>
    <w:next w:val="853"/>
    <w:link w:val="870"/>
    <w:qFormat/>
    <w:pPr>
      <w:jc w:val="both"/>
      <w:keepNext/>
      <w:outlineLvl w:val="4"/>
    </w:pPr>
    <w:rPr>
      <w:sz w:val="28"/>
    </w:rPr>
  </w:style>
  <w:style w:type="paragraph" w:styleId="859">
    <w:name w:val="Heading 6"/>
    <w:basedOn w:val="853"/>
    <w:next w:val="853"/>
    <w:link w:val="8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853"/>
    <w:next w:val="853"/>
    <w:link w:val="872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61">
    <w:name w:val="Heading 8"/>
    <w:basedOn w:val="853"/>
    <w:next w:val="853"/>
    <w:link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2">
    <w:name w:val="Heading 9"/>
    <w:basedOn w:val="853"/>
    <w:next w:val="853"/>
    <w:link w:val="8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67" w:customStyle="1">
    <w:name w:val="Heading 2 Char"/>
    <w:uiPriority w:val="9"/>
    <w:rPr>
      <w:rFonts w:ascii="Arial" w:hAnsi="Arial" w:eastAsia="Arial" w:cs="Arial"/>
      <w:sz w:val="34"/>
    </w:rPr>
  </w:style>
  <w:style w:type="character" w:styleId="868" w:customStyle="1">
    <w:name w:val="Заголовок 3 Знак"/>
    <w:link w:val="856"/>
    <w:uiPriority w:val="9"/>
    <w:rPr>
      <w:rFonts w:ascii="Arial" w:hAnsi="Arial" w:eastAsia="Arial" w:cs="Arial"/>
      <w:sz w:val="30"/>
      <w:szCs w:val="30"/>
    </w:rPr>
  </w:style>
  <w:style w:type="character" w:styleId="869" w:customStyle="1">
    <w:name w:val="Заголовок 4 Знак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870" w:customStyle="1">
    <w:name w:val="Заголовок 5 Знак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871" w:customStyle="1">
    <w:name w:val="Заголовок 6 Знак"/>
    <w:link w:val="859"/>
    <w:uiPriority w:val="9"/>
    <w:rPr>
      <w:rFonts w:ascii="Arial" w:hAnsi="Arial" w:eastAsia="Arial" w:cs="Arial"/>
      <w:b/>
      <w:bCs/>
      <w:sz w:val="22"/>
      <w:szCs w:val="22"/>
    </w:rPr>
  </w:style>
  <w:style w:type="character" w:styleId="872" w:customStyle="1">
    <w:name w:val="Заголовок 7 Знак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3" w:customStyle="1">
    <w:name w:val="Заголовок 8 Знак"/>
    <w:link w:val="861"/>
    <w:uiPriority w:val="9"/>
    <w:rPr>
      <w:rFonts w:ascii="Arial" w:hAnsi="Arial" w:eastAsia="Arial" w:cs="Arial"/>
      <w:i/>
      <w:iCs/>
      <w:sz w:val="22"/>
      <w:szCs w:val="22"/>
    </w:rPr>
  </w:style>
  <w:style w:type="character" w:styleId="874" w:customStyle="1">
    <w:name w:val="Заголовок 9 Знак"/>
    <w:link w:val="862"/>
    <w:uiPriority w:val="9"/>
    <w:rPr>
      <w:rFonts w:ascii="Arial" w:hAnsi="Arial" w:eastAsia="Arial" w:cs="Arial"/>
      <w:i/>
      <w:iCs/>
      <w:sz w:val="21"/>
      <w:szCs w:val="21"/>
    </w:rPr>
  </w:style>
  <w:style w:type="paragraph" w:styleId="875">
    <w:name w:val="List Paragraph"/>
    <w:basedOn w:val="853"/>
    <w:uiPriority w:val="34"/>
    <w:qFormat/>
    <w:pPr>
      <w:contextualSpacing/>
      <w:ind w:left="720"/>
    </w:pPr>
  </w:style>
  <w:style w:type="paragraph" w:styleId="876">
    <w:name w:val="No Spacing"/>
    <w:uiPriority w:val="1"/>
    <w:qFormat/>
    <w:rPr>
      <w:lang w:eastAsia="zh-CN"/>
    </w:rPr>
  </w:style>
  <w:style w:type="paragraph" w:styleId="877">
    <w:name w:val="Title"/>
    <w:basedOn w:val="853"/>
    <w:next w:val="853"/>
    <w:link w:val="8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8" w:customStyle="1">
    <w:name w:val="Заголовок Знак"/>
    <w:link w:val="877"/>
    <w:uiPriority w:val="10"/>
    <w:rPr>
      <w:sz w:val="48"/>
      <w:szCs w:val="48"/>
    </w:rPr>
  </w:style>
  <w:style w:type="paragraph" w:styleId="879">
    <w:name w:val="Subtitle"/>
    <w:basedOn w:val="853"/>
    <w:next w:val="853"/>
    <w:link w:val="880"/>
    <w:uiPriority w:val="11"/>
    <w:qFormat/>
    <w:pPr>
      <w:spacing w:before="200" w:after="200"/>
    </w:pPr>
  </w:style>
  <w:style w:type="character" w:styleId="880" w:customStyle="1">
    <w:name w:val="Подзаголовок Знак"/>
    <w:link w:val="879"/>
    <w:uiPriority w:val="11"/>
    <w:rPr>
      <w:sz w:val="24"/>
      <w:szCs w:val="24"/>
    </w:rPr>
  </w:style>
  <w:style w:type="paragraph" w:styleId="881">
    <w:name w:val="Quote"/>
    <w:basedOn w:val="853"/>
    <w:next w:val="853"/>
    <w:link w:val="882"/>
    <w:uiPriority w:val="29"/>
    <w:qFormat/>
    <w:pPr>
      <w:ind w:left="720" w:right="720"/>
    </w:pPr>
    <w:rPr>
      <w:i/>
    </w:rPr>
  </w:style>
  <w:style w:type="character" w:styleId="882" w:customStyle="1">
    <w:name w:val="Цитата 2 Знак"/>
    <w:link w:val="881"/>
    <w:uiPriority w:val="29"/>
    <w:rPr>
      <w:i/>
    </w:rPr>
  </w:style>
  <w:style w:type="paragraph" w:styleId="883">
    <w:name w:val="Intense Quote"/>
    <w:basedOn w:val="853"/>
    <w:next w:val="853"/>
    <w:link w:val="8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 w:customStyle="1">
    <w:name w:val="Выделенная цитата Знак"/>
    <w:link w:val="883"/>
    <w:uiPriority w:val="30"/>
    <w:rPr>
      <w:i/>
    </w:rPr>
  </w:style>
  <w:style w:type="paragraph" w:styleId="885">
    <w:name w:val="Header"/>
    <w:basedOn w:val="853"/>
    <w:link w:val="1036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86" w:customStyle="1">
    <w:name w:val="Header Char"/>
    <w:uiPriority w:val="99"/>
  </w:style>
  <w:style w:type="paragraph" w:styleId="887">
    <w:name w:val="Footer"/>
    <w:basedOn w:val="853"/>
    <w:link w:val="103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88" w:customStyle="1">
    <w:name w:val="Footer Char"/>
    <w:uiPriority w:val="99"/>
  </w:style>
  <w:style w:type="paragraph" w:styleId="889">
    <w:name w:val="Caption"/>
    <w:basedOn w:val="853"/>
    <w:next w:val="853"/>
    <w:link w:val="89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90" w:customStyle="1">
    <w:name w:val="Caption Char"/>
    <w:uiPriority w:val="99"/>
  </w:style>
  <w:style w:type="table" w:styleId="89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8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17">
    <w:name w:val="Hyperlink"/>
    <w:uiPriority w:val="99"/>
    <w:semiHidden/>
    <w:unhideWhenUsed/>
    <w:rPr>
      <w:color w:val="0000ff"/>
      <w:u w:val="single"/>
    </w:rPr>
  </w:style>
  <w:style w:type="paragraph" w:styleId="1018">
    <w:name w:val="footnote text"/>
    <w:basedOn w:val="853"/>
    <w:link w:val="1019"/>
    <w:uiPriority w:val="99"/>
    <w:semiHidden/>
    <w:unhideWhenUsed/>
    <w:pPr>
      <w:spacing w:after="40"/>
    </w:pPr>
    <w:rPr>
      <w:sz w:val="18"/>
    </w:rPr>
  </w:style>
  <w:style w:type="character" w:styleId="1019" w:customStyle="1">
    <w:name w:val="Текст сноски Знак"/>
    <w:link w:val="1018"/>
    <w:uiPriority w:val="99"/>
    <w:rPr>
      <w:sz w:val="18"/>
    </w:rPr>
  </w:style>
  <w:style w:type="character" w:styleId="1020">
    <w:name w:val="footnote reference"/>
    <w:uiPriority w:val="99"/>
    <w:unhideWhenUsed/>
    <w:rPr>
      <w:vertAlign w:val="superscript"/>
    </w:rPr>
  </w:style>
  <w:style w:type="paragraph" w:styleId="1021">
    <w:name w:val="endnote text"/>
    <w:basedOn w:val="853"/>
    <w:link w:val="1022"/>
    <w:uiPriority w:val="99"/>
    <w:semiHidden/>
    <w:unhideWhenUsed/>
    <w:rPr>
      <w:sz w:val="20"/>
    </w:rPr>
  </w:style>
  <w:style w:type="character" w:styleId="1022" w:customStyle="1">
    <w:name w:val="Текст концевой сноски Знак"/>
    <w:link w:val="1021"/>
    <w:uiPriority w:val="99"/>
    <w:rPr>
      <w:sz w:val="20"/>
    </w:rPr>
  </w:style>
  <w:style w:type="character" w:styleId="1023">
    <w:name w:val="endnote reference"/>
    <w:uiPriority w:val="99"/>
    <w:semiHidden/>
    <w:unhideWhenUsed/>
    <w:rPr>
      <w:vertAlign w:val="superscript"/>
    </w:rPr>
  </w:style>
  <w:style w:type="paragraph" w:styleId="1024">
    <w:name w:val="toc 1"/>
    <w:basedOn w:val="853"/>
    <w:next w:val="853"/>
    <w:uiPriority w:val="39"/>
    <w:unhideWhenUsed/>
    <w:pPr>
      <w:spacing w:after="57"/>
    </w:pPr>
  </w:style>
  <w:style w:type="paragraph" w:styleId="1025">
    <w:name w:val="toc 2"/>
    <w:basedOn w:val="853"/>
    <w:next w:val="853"/>
    <w:uiPriority w:val="39"/>
    <w:unhideWhenUsed/>
    <w:pPr>
      <w:ind w:left="283"/>
      <w:spacing w:after="57"/>
    </w:pPr>
  </w:style>
  <w:style w:type="paragraph" w:styleId="1026">
    <w:name w:val="toc 3"/>
    <w:basedOn w:val="853"/>
    <w:next w:val="853"/>
    <w:uiPriority w:val="39"/>
    <w:unhideWhenUsed/>
    <w:pPr>
      <w:ind w:left="567"/>
      <w:spacing w:after="57"/>
    </w:pPr>
  </w:style>
  <w:style w:type="paragraph" w:styleId="1027">
    <w:name w:val="toc 4"/>
    <w:basedOn w:val="853"/>
    <w:next w:val="853"/>
    <w:uiPriority w:val="39"/>
    <w:unhideWhenUsed/>
    <w:pPr>
      <w:ind w:left="850"/>
      <w:spacing w:after="57"/>
    </w:pPr>
  </w:style>
  <w:style w:type="paragraph" w:styleId="1028">
    <w:name w:val="toc 5"/>
    <w:basedOn w:val="853"/>
    <w:next w:val="853"/>
    <w:uiPriority w:val="39"/>
    <w:unhideWhenUsed/>
    <w:pPr>
      <w:ind w:left="1134"/>
      <w:spacing w:after="57"/>
    </w:pPr>
  </w:style>
  <w:style w:type="paragraph" w:styleId="1029">
    <w:name w:val="toc 6"/>
    <w:basedOn w:val="853"/>
    <w:next w:val="853"/>
    <w:uiPriority w:val="39"/>
    <w:unhideWhenUsed/>
    <w:pPr>
      <w:ind w:left="1417"/>
      <w:spacing w:after="57"/>
    </w:pPr>
  </w:style>
  <w:style w:type="paragraph" w:styleId="1030">
    <w:name w:val="toc 7"/>
    <w:basedOn w:val="853"/>
    <w:next w:val="853"/>
    <w:uiPriority w:val="39"/>
    <w:unhideWhenUsed/>
    <w:pPr>
      <w:ind w:left="1701"/>
      <w:spacing w:after="57"/>
    </w:pPr>
  </w:style>
  <w:style w:type="paragraph" w:styleId="1031">
    <w:name w:val="toc 8"/>
    <w:basedOn w:val="853"/>
    <w:next w:val="853"/>
    <w:uiPriority w:val="39"/>
    <w:unhideWhenUsed/>
    <w:pPr>
      <w:ind w:left="1984"/>
      <w:spacing w:after="57"/>
    </w:pPr>
  </w:style>
  <w:style w:type="paragraph" w:styleId="1032">
    <w:name w:val="toc 9"/>
    <w:basedOn w:val="853"/>
    <w:next w:val="853"/>
    <w:uiPriority w:val="39"/>
    <w:unhideWhenUsed/>
    <w:pPr>
      <w:ind w:left="2268"/>
      <w:spacing w:after="57"/>
    </w:pPr>
  </w:style>
  <w:style w:type="paragraph" w:styleId="1033">
    <w:name w:val="TOC Heading"/>
    <w:uiPriority w:val="39"/>
    <w:unhideWhenUsed/>
    <w:rPr>
      <w:lang w:eastAsia="zh-CN"/>
    </w:rPr>
  </w:style>
  <w:style w:type="paragraph" w:styleId="1034">
    <w:name w:val="table of figures"/>
    <w:basedOn w:val="853"/>
    <w:next w:val="853"/>
    <w:uiPriority w:val="99"/>
    <w:unhideWhenUsed/>
  </w:style>
  <w:style w:type="paragraph" w:styleId="1035">
    <w:name w:val="Body Text"/>
    <w:basedOn w:val="853"/>
    <w:link w:val="1038"/>
    <w:pPr>
      <w:jc w:val="both"/>
    </w:pPr>
    <w:rPr>
      <w:sz w:val="28"/>
      <w:lang w:val="en-US" w:eastAsia="en-US"/>
    </w:rPr>
  </w:style>
  <w:style w:type="character" w:styleId="1036" w:customStyle="1">
    <w:name w:val="Верхний колонтитул Знак"/>
    <w:link w:val="885"/>
    <w:uiPriority w:val="99"/>
    <w:rPr>
      <w:sz w:val="24"/>
      <w:szCs w:val="24"/>
      <w:lang w:val="sr-Cyrl-CS"/>
    </w:rPr>
  </w:style>
  <w:style w:type="character" w:styleId="1037" w:customStyle="1">
    <w:name w:val="Нижний колонтитул Знак"/>
    <w:link w:val="887"/>
    <w:uiPriority w:val="99"/>
    <w:rPr>
      <w:sz w:val="24"/>
      <w:szCs w:val="24"/>
      <w:lang w:val="sr-Cyrl-CS"/>
    </w:rPr>
  </w:style>
  <w:style w:type="character" w:styleId="1038" w:customStyle="1">
    <w:name w:val="Основной текст Знак"/>
    <w:link w:val="1035"/>
    <w:rPr>
      <w:sz w:val="28"/>
      <w:szCs w:val="24"/>
    </w:rPr>
  </w:style>
  <w:style w:type="paragraph" w:styleId="1039">
    <w:name w:val="Balloon Text"/>
    <w:basedOn w:val="853"/>
    <w:semiHidden/>
    <w:rPr>
      <w:rFonts w:ascii="Tahoma" w:hAnsi="Tahoma" w:cs="Tahoma"/>
      <w:sz w:val="16"/>
      <w:szCs w:val="16"/>
    </w:rPr>
  </w:style>
  <w:style w:type="paragraph" w:styleId="1040" w:customStyle="1">
    <w:name w:val="Название"/>
    <w:basedOn w:val="853"/>
    <w:link w:val="1041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1041" w:customStyle="1">
    <w:name w:val="Название Знак"/>
    <w:link w:val="1040"/>
    <w:uiPriority w:val="99"/>
    <w:rPr>
      <w:rFonts w:eastAsia="Calibri"/>
      <w:sz w:val="24"/>
    </w:rPr>
  </w:style>
  <w:style w:type="character" w:styleId="1042" w:customStyle="1">
    <w:name w:val="Заголовок 1 Знак"/>
    <w:link w:val="854"/>
    <w:rPr>
      <w:rFonts w:ascii="Arial" w:hAnsi="Arial" w:cs="Arial"/>
      <w:b/>
      <w:bCs/>
      <w:sz w:val="32"/>
      <w:szCs w:val="32"/>
    </w:rPr>
  </w:style>
  <w:style w:type="character" w:styleId="1043" w:customStyle="1">
    <w:name w:val="Заголовок 2 Знак"/>
    <w:link w:val="855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1044" w:customStyle="1">
    <w:name w:val="ConsPlusNormal"/>
    <w:rPr>
      <w:sz w:val="28"/>
      <w:szCs w:val="28"/>
    </w:rPr>
  </w:style>
  <w:style w:type="character" w:styleId="1045" w:customStyle="1">
    <w:name w:val="Strong"/>
    <w:qFormat/>
    <w:rPr>
      <w:b/>
      <w:bCs/>
    </w:rPr>
  </w:style>
  <w:style w:type="paragraph" w:styleId="104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47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romanko</cp:lastModifiedBy>
  <cp:revision>26</cp:revision>
  <dcterms:created xsi:type="dcterms:W3CDTF">2023-12-07T11:38:00Z</dcterms:created>
  <dcterms:modified xsi:type="dcterms:W3CDTF">2025-03-20T09:40:26Z</dcterms:modified>
  <cp:version>1048576</cp:version>
</cp:coreProperties>
</file>