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4820"/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УТВЕРЖДЕН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решением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4820"/>
        <w:rPr>
          <w:rFonts w:ascii="FreeSerif" w:hAnsi="FreeSerif" w:cs="FreeSerif"/>
          <w:color w:val="ff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от </w:t>
      </w:r>
      <w:r>
        <w:rPr>
          <w:rFonts w:ascii="FreeSerif" w:hAnsi="FreeSerif" w:eastAsia="FreeSerif" w:cs="FreeSerif"/>
          <w:sz w:val="28"/>
          <w:szCs w:val="28"/>
        </w:rPr>
        <w:t xml:space="preserve">30.01.2025 г. № 4</w:t>
      </w:r>
      <w:r>
        <w:rPr>
          <w:rFonts w:ascii="FreeSerif" w:hAnsi="FreeSerif" w:cs="FreeSerif"/>
          <w:color w:val="ff0000"/>
          <w:sz w:val="28"/>
          <w:szCs w:val="28"/>
        </w:rPr>
      </w:r>
      <w:r>
        <w:rPr>
          <w:rFonts w:ascii="FreeSerif" w:hAnsi="FreeSerif" w:cs="FreeSerif"/>
          <w:color w:val="ff0000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Положение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 конкурс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8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I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Общие положения.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Настоящее Положение </w:t>
      </w:r>
      <w:r>
        <w:rPr>
          <w:rFonts w:ascii="FreeSerif" w:hAnsi="FreeSerif" w:eastAsia="FreeSerif" w:cs="FreeSerif"/>
          <w:sz w:val="28"/>
          <w:szCs w:val="28"/>
        </w:rPr>
        <w:t xml:space="preserve">определяет</w:t>
      </w:r>
      <w:r>
        <w:rPr>
          <w:rFonts w:ascii="FreeSerif" w:hAnsi="FreeSerif" w:eastAsia="FreeSerif" w:cs="FreeSerif"/>
          <w:sz w:val="28"/>
          <w:szCs w:val="28"/>
        </w:rPr>
        <w:t xml:space="preserve"> порядок проведения конкурса «Лу</w:t>
      </w:r>
      <w:r>
        <w:rPr>
          <w:rFonts w:ascii="FreeSerif" w:hAnsi="FreeSerif" w:eastAsia="FreeSerif" w:cs="FreeSerif"/>
          <w:sz w:val="28"/>
          <w:szCs w:val="28"/>
        </w:rPr>
        <w:t xml:space="preserve">ч</w:t>
      </w:r>
      <w:r>
        <w:rPr>
          <w:rFonts w:ascii="FreeSerif" w:hAnsi="FreeSerif" w:eastAsia="FreeSerif" w:cs="FreeSerif"/>
          <w:sz w:val="28"/>
          <w:szCs w:val="28"/>
        </w:rPr>
        <w:t xml:space="preserve">ший орган территориального общественного самоуправления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округа» (далее-конкурс) среди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</w:t>
      </w:r>
      <w:r>
        <w:rPr>
          <w:rFonts w:ascii="FreeSerif" w:hAnsi="FreeSerif" w:eastAsia="FreeSerif" w:cs="FreeSerif"/>
          <w:sz w:val="28"/>
          <w:szCs w:val="28"/>
        </w:rPr>
        <w:t xml:space="preserve">ых общественных самоуправлений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(далее – ТОС)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Организатором конкурса является администрация муниципального образ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 края.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II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.Цели проведения конкурса.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lef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1.  Конкурс проводится в целях: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numPr>
          <w:ilvl w:val="0"/>
          <w:numId w:val="11"/>
        </w:num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активизации деятельности органов ТОС </w:t>
      </w:r>
      <w:r>
        <w:rPr>
          <w:rFonts w:ascii="FreeSerif" w:hAnsi="FreeSerif" w:eastAsia="FreeSerif" w:cs="FreeSerif"/>
          <w:sz w:val="28"/>
          <w:szCs w:val="28"/>
        </w:rPr>
        <w:t xml:space="preserve">по привлечению населения к решению вопросов местного значения;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numPr>
          <w:ilvl w:val="0"/>
          <w:numId w:val="11"/>
        </w:num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выявления</w:t>
      </w:r>
      <w:r>
        <w:rPr>
          <w:rFonts w:ascii="FreeSerif" w:hAnsi="FreeSerif" w:eastAsia="FreeSerif" w:cs="FreeSerif"/>
          <w:sz w:val="28"/>
          <w:szCs w:val="28"/>
        </w:rPr>
        <w:t xml:space="preserve"> наиболее эффективного проекта ТОС;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numPr>
          <w:ilvl w:val="0"/>
          <w:numId w:val="11"/>
        </w:num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развития и реализации т</w:t>
      </w:r>
      <w:r>
        <w:rPr>
          <w:rFonts w:ascii="FreeSerif" w:hAnsi="FreeSerif" w:eastAsia="FreeSerif" w:cs="FreeSerif"/>
          <w:sz w:val="28"/>
          <w:szCs w:val="28"/>
        </w:rPr>
        <w:t xml:space="preserve">ворческого потенциала населения;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numPr>
          <w:ilvl w:val="0"/>
          <w:numId w:val="11"/>
        </w:num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совершенствования механизма поддержки и поощрения ТОС администрац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ей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 края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numPr>
          <w:ilvl w:val="0"/>
          <w:numId w:val="11"/>
        </w:num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обобщения и распространения положительного опыта работы органов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III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Условия и порядок проведения конкурса.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left="0"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1. Участниками конкурса могут быть </w:t>
      </w:r>
      <w:r>
        <w:rPr>
          <w:rFonts w:ascii="FreeSerif" w:hAnsi="FreeSerif" w:eastAsia="FreeSerif" w:cs="FreeSerif"/>
          <w:sz w:val="28"/>
          <w:szCs w:val="28"/>
        </w:rPr>
        <w:t xml:space="preserve">любые </w:t>
      </w:r>
      <w:r>
        <w:rPr>
          <w:rFonts w:ascii="FreeSerif" w:hAnsi="FreeSerif" w:eastAsia="FreeSerif" w:cs="FreeSerif"/>
          <w:sz w:val="28"/>
          <w:szCs w:val="28"/>
        </w:rPr>
        <w:t xml:space="preserve">органы 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(домовые, квартальные и уличные комитеты сельских населенных пунктов, Советы хуторов)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расположенные в границах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учрежденные в соответствии с действующим законодательством и имеющие зарегистрированный устав</w:t>
      </w:r>
      <w:r>
        <w:rPr>
          <w:rFonts w:ascii="FreeSerif" w:hAnsi="FreeSerif" w:eastAsia="FreeSerif" w:cs="FreeSerif"/>
          <w:sz w:val="28"/>
          <w:szCs w:val="28"/>
        </w:rPr>
        <w:t xml:space="preserve"> (далее ТОС).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Конкурс проводится </w:t>
      </w:r>
      <w:r>
        <w:rPr>
          <w:rFonts w:ascii="FreeSerif" w:hAnsi="FreeSerif" w:eastAsia="FreeSerif" w:cs="FreeSerif"/>
          <w:sz w:val="28"/>
          <w:szCs w:val="28"/>
        </w:rPr>
        <w:t xml:space="preserve">с 1 по 25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декабря </w:t>
      </w:r>
      <w:r>
        <w:rPr>
          <w:rFonts w:ascii="FreeSerif" w:hAnsi="FreeSerif" w:eastAsia="FreeSerif" w:cs="FreeSerif"/>
          <w:sz w:val="28"/>
          <w:szCs w:val="28"/>
        </w:rPr>
        <w:t xml:space="preserve">текущего </w:t>
      </w:r>
      <w:r>
        <w:rPr>
          <w:rFonts w:ascii="FreeSerif" w:hAnsi="FreeSerif" w:eastAsia="FreeSerif" w:cs="FreeSerif"/>
          <w:sz w:val="28"/>
          <w:szCs w:val="28"/>
        </w:rPr>
        <w:t xml:space="preserve">года среди ТОС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предоставивших свои конкурсные работы на рассмотрение конкурсной комиссии. </w:t>
      </w:r>
      <w:r>
        <w:rPr>
          <w:rFonts w:ascii="FreeSerif" w:hAnsi="FreeSerif" w:eastAsia="FreeSerif" w:cs="FreeSerif"/>
          <w:sz w:val="28"/>
          <w:szCs w:val="28"/>
        </w:rPr>
        <w:t xml:space="preserve">Отчетным периодом подведения итогов конкурса является календарный год.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Приоритетными </w:t>
      </w:r>
      <w:r>
        <w:rPr>
          <w:rFonts w:ascii="FreeSerif" w:hAnsi="FreeSerif" w:eastAsia="FreeSerif" w:cs="FreeSerif"/>
          <w:sz w:val="28"/>
          <w:szCs w:val="28"/>
        </w:rPr>
        <w:t xml:space="preserve">направлениями и критериями </w:t>
      </w:r>
      <w:r>
        <w:rPr>
          <w:rFonts w:ascii="FreeSerif" w:hAnsi="FreeSerif" w:eastAsia="FreeSerif" w:cs="FreeSerif"/>
          <w:sz w:val="28"/>
          <w:szCs w:val="28"/>
        </w:rPr>
        <w:t xml:space="preserve">в работе органов ТОС при определении победителей конкурса считаются: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содействие органам местного самоуправления муниципального образования в организации работы с населением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работа органа ТОС по вовлечению жителей в процесс принятия решений, в том числе количество проведенных собраний (советов, конференций, заседаний органа ТОС) и рассматриваемые вопросы;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проведение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информационной  работы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период предвыборных кампаний;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взаимодействие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ТОС с различными организациями (учреждениями социальной сферы, общественными организациями, управляющими компаниями, образовательными учреждениями и подростково-молодежными клубами по месту жительства и др.);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патриотическое воспитание и работа с молодежью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организованное силами населения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формирование здорового образа жизни и повышение качества жизни нас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вовлечение населения в охрану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общ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ественного порядка, профилактику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правонарушений 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осуществление мероприятий по обеспечению противопожарного состояния жилых домов и других объектов, расположенных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 территории их деятельности;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привлечение жителей соответствующей территории к работам по благоустройству, озеленению, улучшению санитарного состояния территорий, спортивных, детских игро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вых площадок и других объектов;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привлечение населения на выполнение работ по ликвидации сорной рас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тительности и самовольных свалок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содействие органам социального обеспечения в выявлении одиноких, престарелых и малоимущих граждан, в поддержке семей военнослужащих, погибших в Чеченской Республике, Афганистане,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участников СВО,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при ликвидации последствий аварии на Чернобыльской АЭС, многодетных семей, детей, оставшихся без родител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ей, в пределах компетенции ТОС;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осуществление деятельности ТОС, направленной на привлечение наибольшего числа граждан для самостоятел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ьного и под свою ответственность осуществления собственных инициатив по вопросам местного значения, включая собственные инициативы, наработки, проекты и достижения (оцениваются по уровню сложности их реализации, количеству жителей, вовлеченных в этот проце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сс, и достигнутому результату);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участие в проведении смотров-конкурсов на лучшее содержание улиц, домов, придомовых территорий, приусадебных участков, детских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игровых и спортивных площадок;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участие в организации и проведении праздников улиц, населенных пунктов и другой культурн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о-массовой и спортивной работе;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содействие учреждениям здравоохранения в проведении профилактических и противоэпидемических мероприятий, сан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итарно-просветительской работы;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освещение деятельности и достижений ТОС в 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МИ, наличие собственного сайта.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Комиссия Совета  муниципального  образования  Ленинградский  муниципальный  округ ( далее  - Совет округа)</w:t>
      </w:r>
      <w:r>
        <w:rPr>
          <w:rFonts w:ascii="FreeSerif" w:hAnsi="FreeSerif" w:eastAsia="FreeSerif" w:cs="FreeSerif"/>
          <w:sz w:val="28"/>
          <w:szCs w:val="28"/>
        </w:rPr>
        <w:t xml:space="preserve">, ответственная за подгото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ку проекта решения «Об итогах конкурса на звание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«Лучший орган территориального общественного самоуправления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собирается на совместное заседание с участием </w:t>
      </w:r>
      <w:r>
        <w:rPr>
          <w:rFonts w:ascii="FreeSerif" w:hAnsi="FreeSerif" w:eastAsia="FreeSerif" w:cs="FreeSerif"/>
          <w:sz w:val="28"/>
          <w:szCs w:val="28"/>
        </w:rPr>
        <w:t xml:space="preserve">депут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тов</w:t>
      </w:r>
      <w:r>
        <w:rPr>
          <w:rFonts w:ascii="FreeSerif" w:hAnsi="FreeSerif" w:eastAsia="FreeSerif" w:cs="FreeSerif"/>
          <w:sz w:val="28"/>
          <w:szCs w:val="28"/>
        </w:rPr>
        <w:t xml:space="preserve"> Совета 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руководителей</w:t>
      </w:r>
      <w:r>
        <w:rPr>
          <w:rFonts w:ascii="FreeSerif" w:hAnsi="FreeSerif" w:eastAsia="FreeSerif" w:cs="FreeSerif"/>
          <w:sz w:val="28"/>
          <w:szCs w:val="28"/>
        </w:rPr>
        <w:t xml:space="preserve"> ТОС,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пред</w:t>
      </w:r>
      <w:r>
        <w:rPr>
          <w:rFonts w:ascii="FreeSerif" w:hAnsi="FreeSerif" w:eastAsia="FreeSerif" w:cs="FreeSerif"/>
          <w:sz w:val="28"/>
          <w:szCs w:val="28"/>
        </w:rPr>
        <w:t xml:space="preserve">ставителей </w:t>
      </w:r>
      <w:r>
        <w:rPr>
          <w:rFonts w:ascii="FreeSerif" w:hAnsi="FreeSerif" w:eastAsia="FreeSerif" w:cs="FreeSerif"/>
          <w:sz w:val="28"/>
          <w:szCs w:val="28"/>
        </w:rPr>
        <w:t xml:space="preserve"> отделов территориального  управления 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на котором определяются </w:t>
      </w:r>
      <w:r>
        <w:rPr>
          <w:rFonts w:ascii="FreeSerif" w:hAnsi="FreeSerif" w:eastAsia="FreeSerif" w:cs="FreeSerif"/>
          <w:sz w:val="28"/>
          <w:szCs w:val="28"/>
        </w:rPr>
        <w:t xml:space="preserve">победители конкурса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Д</w:t>
      </w:r>
      <w:r>
        <w:rPr>
          <w:rFonts w:ascii="FreeSerif" w:hAnsi="FreeSerif" w:eastAsia="FreeSerif" w:cs="FreeSerif"/>
          <w:sz w:val="28"/>
          <w:szCs w:val="28"/>
        </w:rPr>
        <w:t xml:space="preserve">ля участия в конкурсе </w:t>
      </w:r>
      <w:r>
        <w:rPr>
          <w:rFonts w:ascii="FreeSerif" w:hAnsi="FreeSerif" w:eastAsia="FreeSerif" w:cs="FreeSerif"/>
          <w:sz w:val="28"/>
          <w:szCs w:val="28"/>
        </w:rPr>
        <w:t xml:space="preserve">руководители ТОС </w:t>
      </w:r>
      <w:r>
        <w:rPr>
          <w:rFonts w:ascii="FreeSerif" w:hAnsi="FreeSerif" w:eastAsia="FreeSerif" w:cs="FreeSerif"/>
          <w:sz w:val="28"/>
          <w:szCs w:val="28"/>
        </w:rPr>
        <w:t xml:space="preserve">предста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ляют в конкурсную комиссию следующие документы: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заявку на участие в конкурсе по форме согласно приложению 1 к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стоящему Положению;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копию зареги</w:t>
      </w:r>
      <w:r>
        <w:rPr>
          <w:rFonts w:ascii="FreeSerif" w:hAnsi="FreeSerif" w:eastAsia="FreeSerif" w:cs="FreeSerif"/>
          <w:sz w:val="28"/>
          <w:szCs w:val="28"/>
        </w:rPr>
        <w:t xml:space="preserve">стрированного устава органа ТОС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годовой </w:t>
      </w:r>
      <w:r>
        <w:rPr>
          <w:rFonts w:ascii="FreeSerif" w:hAnsi="FreeSerif" w:eastAsia="FreeSerif" w:cs="FreeSerif"/>
          <w:sz w:val="28"/>
          <w:szCs w:val="28"/>
        </w:rPr>
        <w:t xml:space="preserve">календарный план работы органа ТОС;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примерную смету расходования денежных средств (объем описания не должен превышать 3 машинописных страниц. Перечислить все мероприятия, проводимые органом ТОС, независимо от того, вошли они в описательную часть работы или нет, а также промежуточные результ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ты и отчетные документы, которыми они подтверждаются);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конкурсную работу по образцу согласно приложению  2 к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 Расходы, связанные с подготовкой и представлением заявок на конкурс, несут Участники конкурса.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3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 Р</w:t>
      </w:r>
      <w:r>
        <w:rPr>
          <w:rFonts w:ascii="FreeSerif" w:hAnsi="FreeSerif" w:eastAsia="FreeSerif" w:cs="FreeSerif"/>
          <w:sz w:val="28"/>
          <w:szCs w:val="28"/>
        </w:rPr>
        <w:t xml:space="preserve">ешение комиссии оформляется протоколом, который подписывается председателем и секретарем комиссии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По итогам конкурса документы </w:t>
      </w:r>
      <w:r>
        <w:rPr>
          <w:rFonts w:ascii="FreeSerif" w:hAnsi="FreeSerif" w:eastAsia="FreeSerif" w:cs="FreeSerif"/>
          <w:sz w:val="28"/>
          <w:szCs w:val="28"/>
        </w:rPr>
        <w:t xml:space="preserve">участников, </w:t>
      </w:r>
      <w:r>
        <w:rPr>
          <w:rFonts w:ascii="FreeSerif" w:hAnsi="FreeSerif" w:eastAsia="FreeSerif" w:cs="FreeSerif"/>
          <w:sz w:val="28"/>
          <w:szCs w:val="28"/>
        </w:rPr>
        <w:t xml:space="preserve">занявших первое</w:t>
      </w:r>
      <w:r>
        <w:rPr>
          <w:rFonts w:ascii="FreeSerif" w:hAnsi="FreeSerif" w:eastAsia="FreeSerif" w:cs="FreeSerif"/>
          <w:sz w:val="28"/>
          <w:szCs w:val="28"/>
        </w:rPr>
        <w:t xml:space="preserve">, второе и третье места направляются в комитет Законодательного Собрания Краснодарского </w:t>
      </w:r>
      <w:r>
        <w:rPr>
          <w:rFonts w:ascii="FreeSerif" w:hAnsi="FreeSerif" w:eastAsia="FreeSerif" w:cs="FreeSerif"/>
          <w:sz w:val="28"/>
          <w:szCs w:val="28"/>
        </w:rPr>
        <w:t xml:space="preserve">края по</w:t>
      </w:r>
      <w:r>
        <w:rPr>
          <w:rFonts w:ascii="FreeSerif" w:hAnsi="FreeSerif" w:eastAsia="FreeSerif" w:cs="FreeSerif"/>
          <w:sz w:val="28"/>
          <w:szCs w:val="28"/>
        </w:rPr>
        <w:t xml:space="preserve"> вопросам местного самоуправления, административно- территориального устройства и социально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экономического развития территорий для подведения итогов краевого конкурса на звание «Лучший орган территориальн</w:t>
      </w:r>
      <w:r>
        <w:rPr>
          <w:rFonts w:ascii="FreeSerif" w:hAnsi="FreeSerif" w:eastAsia="FreeSerif" w:cs="FreeSerif"/>
          <w:sz w:val="28"/>
          <w:szCs w:val="28"/>
        </w:rPr>
        <w:t xml:space="preserve">ого общественного самоуправления»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Руководители органа ТОС</w:t>
      </w:r>
      <w:r>
        <w:rPr>
          <w:rFonts w:ascii="FreeSerif" w:hAnsi="FreeSerif" w:eastAsia="FreeSerif" w:cs="FreeSerif"/>
          <w:sz w:val="28"/>
          <w:szCs w:val="28"/>
        </w:rPr>
        <w:t xml:space="preserve">, занявшие с первого по шестое места, награждаются грамотой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ind w:left="0"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территории, где расположены  участники   конкурса,занявшие 4,5,6 места  производится  благоустройство  соответствующего  общественного пространства  на сумму в размере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-е место </w:t>
      </w:r>
      <w:r>
        <w:rPr>
          <w:rFonts w:ascii="FreeSerif" w:hAnsi="FreeSerif" w:eastAsia="FreeSerif" w:cs="FreeSerif"/>
          <w:sz w:val="28"/>
          <w:szCs w:val="28"/>
        </w:rPr>
        <w:t xml:space="preserve">350 000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триста пятьдесят тысяч</w:t>
      </w:r>
      <w:r>
        <w:rPr>
          <w:rFonts w:ascii="FreeSerif" w:hAnsi="FreeSerif" w:eastAsia="FreeSerif" w:cs="FreeSerif"/>
          <w:sz w:val="28"/>
          <w:szCs w:val="28"/>
        </w:rPr>
        <w:t xml:space="preserve">) рублей,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-е место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sz w:val="28"/>
          <w:szCs w:val="28"/>
        </w:rPr>
        <w:t xml:space="preserve">300</w:t>
      </w:r>
      <w:r>
        <w:rPr>
          <w:rFonts w:ascii="FreeSerif" w:hAnsi="FreeSerif" w:eastAsia="FreeSerif" w:cs="FreeSerif"/>
          <w:sz w:val="28"/>
          <w:szCs w:val="28"/>
        </w:rPr>
        <w:t xml:space="preserve"> 000 (</w:t>
      </w:r>
      <w:r>
        <w:rPr>
          <w:rFonts w:ascii="FreeSerif" w:hAnsi="FreeSerif" w:eastAsia="FreeSerif" w:cs="FreeSerif"/>
          <w:sz w:val="28"/>
          <w:szCs w:val="28"/>
        </w:rPr>
        <w:t xml:space="preserve">три</w:t>
      </w:r>
      <w:r>
        <w:rPr>
          <w:rFonts w:ascii="FreeSerif" w:hAnsi="FreeSerif" w:eastAsia="FreeSerif" w:cs="FreeSerif"/>
          <w:sz w:val="28"/>
          <w:szCs w:val="28"/>
        </w:rPr>
        <w:t xml:space="preserve">ст</w:t>
      </w:r>
      <w:r>
        <w:rPr>
          <w:rFonts w:ascii="FreeSerif" w:hAnsi="FreeSerif" w:eastAsia="FreeSerif" w:cs="FreeSerif"/>
          <w:sz w:val="28"/>
          <w:szCs w:val="28"/>
        </w:rPr>
        <w:t xml:space="preserve">а тысяч</w:t>
      </w:r>
      <w:r>
        <w:rPr>
          <w:rFonts w:ascii="FreeSerif" w:hAnsi="FreeSerif" w:eastAsia="FreeSerif" w:cs="FreeSerif"/>
          <w:sz w:val="28"/>
          <w:szCs w:val="28"/>
        </w:rPr>
        <w:t xml:space="preserve">)  ру</w:t>
      </w:r>
      <w:r>
        <w:rPr>
          <w:rFonts w:ascii="FreeSerif" w:hAnsi="FreeSerif" w:eastAsia="FreeSerif" w:cs="FreeSerif"/>
          <w:sz w:val="28"/>
          <w:szCs w:val="28"/>
        </w:rPr>
        <w:t xml:space="preserve">блей, 6</w:t>
      </w:r>
      <w:r>
        <w:rPr>
          <w:rFonts w:ascii="FreeSerif" w:hAnsi="FreeSerif" w:eastAsia="FreeSerif" w:cs="FreeSerif"/>
          <w:sz w:val="28"/>
          <w:szCs w:val="28"/>
        </w:rPr>
        <w:t xml:space="preserve">-е </w:t>
      </w:r>
      <w:r>
        <w:rPr>
          <w:rFonts w:ascii="FreeSerif" w:hAnsi="FreeSerif" w:eastAsia="FreeSerif" w:cs="FreeSerif"/>
          <w:sz w:val="28"/>
          <w:szCs w:val="28"/>
        </w:rPr>
        <w:t xml:space="preserve">место 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двести пятьдесят</w:t>
      </w:r>
      <w:r>
        <w:rPr>
          <w:rFonts w:ascii="FreeSerif" w:hAnsi="FreeSerif" w:eastAsia="FreeSerif" w:cs="FreeSerif"/>
          <w:sz w:val="28"/>
          <w:szCs w:val="28"/>
        </w:rPr>
        <w:t xml:space="preserve"> тысяч)  рублей.</w:t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Организация  благоустройства  территории  осуществляется  территориальным  управлением  администрации  муниципального  образования  Ленинградский   муниципальный округ 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на основании </w:t>
      </w:r>
      <w:r>
        <w:rPr>
          <w:rFonts w:ascii="FreeSerif" w:hAnsi="FreeSerif" w:eastAsia="FreeSerif" w:cs="FreeSerif"/>
          <w:sz w:val="28"/>
          <w:szCs w:val="28"/>
        </w:rPr>
        <w:t xml:space="preserve">решения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об у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верждении результатов конкурса.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Первый заместитель </w:t>
      </w:r>
      <w:r>
        <w:rPr>
          <w:rFonts w:ascii="FreeSerif" w:hAnsi="FreeSerif" w:eastAsia="FreeSerif" w:cs="FreeSerif"/>
          <w:sz w:val="28"/>
          <w:szCs w:val="28"/>
        </w:rPr>
        <w:t xml:space="preserve">главы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7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управления внутренней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политики администрации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В.Н.Шерстобитов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  <w:lvlOverride w:ilvl="0">
      <w:startOverride w:val="1"/>
    </w:lvlOverride>
    <w:lvlOverride w:ilvl="1">
      <w:startOverride w:val="0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basedOn w:val="878"/>
    <w:next w:val="8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next w:val="878"/>
    <w:link w:val="878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879">
    <w:name w:val="Основной шрифт абзаца"/>
    <w:next w:val="879"/>
    <w:link w:val="878"/>
    <w:uiPriority w:val="1"/>
    <w:semiHidden/>
    <w:unhideWhenUsed/>
  </w:style>
  <w:style w:type="table" w:styleId="880">
    <w:name w:val="Обычная таблица"/>
    <w:next w:val="880"/>
    <w:link w:val="878"/>
    <w:uiPriority w:val="99"/>
    <w:semiHidden/>
    <w:unhideWhenUsed/>
    <w:qFormat/>
    <w:tblPr/>
  </w:style>
  <w:style w:type="numbering" w:styleId="881">
    <w:name w:val="Нет списка"/>
    <w:next w:val="881"/>
    <w:link w:val="878"/>
    <w:uiPriority w:val="99"/>
    <w:semiHidden/>
    <w:unhideWhenUsed/>
  </w:style>
  <w:style w:type="paragraph" w:styleId="882">
    <w:name w:val="ConsPlusNonformat"/>
    <w:next w:val="882"/>
    <w:link w:val="87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83">
    <w:name w:val="ConsPlusNormal"/>
    <w:next w:val="883"/>
    <w:link w:val="878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84">
    <w:name w:val="Верхний колонтитул"/>
    <w:basedOn w:val="878"/>
    <w:next w:val="884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>
    <w:name w:val="Верхний колонтитул Знак"/>
    <w:next w:val="885"/>
    <w:link w:val="88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>
    <w:name w:val="Абзац списка"/>
    <w:basedOn w:val="878"/>
    <w:next w:val="886"/>
    <w:link w:val="878"/>
    <w:uiPriority w:val="34"/>
    <w:qFormat/>
    <w:pPr>
      <w:contextualSpacing/>
      <w:ind w:left="720"/>
    </w:pPr>
  </w:style>
  <w:style w:type="paragraph" w:styleId="887">
    <w:name w:val="Основной текст с отступом 2"/>
    <w:basedOn w:val="878"/>
    <w:next w:val="887"/>
    <w:link w:val="888"/>
    <w:pPr>
      <w:ind w:firstLine="720"/>
      <w:jc w:val="both"/>
    </w:pPr>
    <w:rPr>
      <w:sz w:val="28"/>
      <w:szCs w:val="20"/>
    </w:rPr>
  </w:style>
  <w:style w:type="character" w:styleId="888">
    <w:name w:val="Основной текст с отступом 2 Знак"/>
    <w:next w:val="888"/>
    <w:link w:val="88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9">
    <w:name w:val="fn2r"/>
    <w:basedOn w:val="878"/>
    <w:next w:val="889"/>
    <w:link w:val="878"/>
    <w:pPr>
      <w:spacing w:before="100" w:beforeAutospacing="1" w:after="100" w:afterAutospacing="1"/>
    </w:pPr>
  </w:style>
  <w:style w:type="paragraph" w:styleId="890">
    <w:name w:val="Нижний колонтитул"/>
    <w:basedOn w:val="878"/>
    <w:next w:val="890"/>
    <w:link w:val="89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1">
    <w:name w:val="Нижний колонтитул Знак"/>
    <w:next w:val="891"/>
    <w:link w:val="89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2">
    <w:name w:val="formattext"/>
    <w:basedOn w:val="878"/>
    <w:next w:val="892"/>
    <w:link w:val="878"/>
    <w:pPr>
      <w:spacing w:before="100" w:beforeAutospacing="1" w:after="100" w:afterAutospacing="1"/>
    </w:pPr>
  </w:style>
  <w:style w:type="character" w:styleId="893">
    <w:name w:val="Гиперссылка"/>
    <w:next w:val="893"/>
    <w:link w:val="878"/>
    <w:uiPriority w:val="99"/>
    <w:semiHidden/>
    <w:unhideWhenUsed/>
    <w:rPr>
      <w:color w:val="0000ff"/>
      <w:u w:val="single"/>
    </w:rPr>
  </w:style>
  <w:style w:type="paragraph" w:styleId="894">
    <w:name w:val="Default"/>
    <w:next w:val="894"/>
    <w:link w:val="878"/>
    <w:rPr>
      <w:rFonts w:ascii="Times New Roman" w:hAnsi="Times New Roman"/>
      <w:color w:val="000000"/>
      <w:sz w:val="24"/>
      <w:szCs w:val="24"/>
      <w:lang w:val="ru-RU" w:eastAsia="en-US" w:bidi="ar-SA"/>
    </w:rPr>
  </w:style>
  <w:style w:type="paragraph" w:styleId="895">
    <w:name w:val="Обычный (веб)"/>
    <w:basedOn w:val="878"/>
    <w:next w:val="895"/>
    <w:link w:val="878"/>
    <w:uiPriority w:val="99"/>
    <w:semiHidden/>
    <w:unhideWhenUsed/>
    <w:pPr>
      <w:spacing w:before="100" w:beforeAutospacing="1" w:after="100" w:afterAutospacing="1"/>
    </w:pPr>
  </w:style>
  <w:style w:type="paragraph" w:styleId="896">
    <w:name w:val="Текст выноски"/>
    <w:basedOn w:val="878"/>
    <w:next w:val="896"/>
    <w:link w:val="89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7">
    <w:name w:val="Текст выноски Знак"/>
    <w:next w:val="897"/>
    <w:link w:val="896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53</cp:revision>
  <dcterms:created xsi:type="dcterms:W3CDTF">2012-12-17T10:20:00Z</dcterms:created>
  <dcterms:modified xsi:type="dcterms:W3CDTF">2025-02-04T10:14:12Z</dcterms:modified>
  <cp:version>983040</cp:version>
</cp:coreProperties>
</file>