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97"/>
        <w:tblpPr w:horzAnchor="margin" w:tblpXSpec="left" w:vertAnchor="text" w:tblpY="23" w:leftFromText="180" w:topFromText="0" w:rightFromText="180" w:bottomFromText="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18"/>
        <w:gridCol w:w="4679"/>
      </w:tblGrid>
      <w:tr>
        <w:tblPrEx/>
        <w:trPr/>
        <w:tc>
          <w:tcPr>
            <w:tcW w:w="511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23.10.2024  № 1038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</w:t>
            </w:r>
            <w:r>
              <w:rPr>
                <w:sz w:val="28"/>
                <w:szCs w:val="28"/>
              </w:rPr>
              <w:t xml:space="preserve">риложение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28.09.2020 года № 835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right="-5"/>
        <w:shd w:val="clear" w:color="auto" w:fill="ffffff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</w:r>
      <w:r>
        <w:rPr>
          <w:color w:val="000000"/>
          <w:spacing w:val="-2"/>
          <w:sz w:val="28"/>
          <w:szCs w:val="28"/>
        </w:rPr>
      </w:r>
      <w:r>
        <w:rPr>
          <w:color w:val="000000"/>
          <w:spacing w:val="-2"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архивного дела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615" w:type="dxa"/>
        <w:tblInd w:w="108" w:type="dxa"/>
        <w:tblLook w:val="00A0" w:firstRow="1" w:lastRow="0" w:firstColumn="1" w:lastColumn="0" w:noHBand="0" w:noVBand="0"/>
      </w:tblPr>
      <w:tblGrid>
        <w:gridCol w:w="3147"/>
        <w:gridCol w:w="6468"/>
      </w:tblGrid>
      <w:tr>
        <w:tblPrEx/>
        <w:trPr/>
        <w:tc>
          <w:tcPr>
            <w:tcW w:w="3147" w:type="dxa"/>
            <w:textDirection w:val="lrTb"/>
            <w:noWrap w:val="false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Координатор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</w:t>
            </w:r>
            <w:r>
              <w:rPr>
                <w:bCs/>
                <w:sz w:val="28"/>
                <w:szCs w:val="28"/>
              </w:rPr>
              <w:t xml:space="preserve">рограммы: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646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 Ленинградский район </w:t>
            </w:r>
            <w:r>
              <w:rPr>
                <w:sz w:val="28"/>
                <w:szCs w:val="28"/>
              </w:rPr>
              <w:t xml:space="preserve">(</w:t>
            </w:r>
            <w:r>
              <w:rPr>
                <w:sz w:val="28"/>
                <w:szCs w:val="28"/>
              </w:rPr>
              <w:t xml:space="preserve">курирующий вопросы </w:t>
            </w:r>
            <w:r>
              <w:rPr>
                <w:sz w:val="28"/>
                <w:szCs w:val="28"/>
              </w:rPr>
              <w:t xml:space="preserve">вну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ренней политики</w:t>
            </w:r>
            <w:r>
              <w:rPr>
                <w:sz w:val="28"/>
                <w:szCs w:val="28"/>
              </w:rPr>
              <w:t xml:space="preserve">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39"/>
        </w:trPr>
        <w:tc>
          <w:tcPr>
            <w:tcW w:w="3147" w:type="dxa"/>
            <w:textDirection w:val="lrTb"/>
            <w:noWrap w:val="false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Участники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Программы: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46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нное учреждение «Архив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Ленинградский район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963"/>
        </w:trPr>
        <w:tc>
          <w:tcPr>
            <w:tcW w:w="3147" w:type="dxa"/>
            <w:textDirection w:val="lrTb"/>
            <w:noWrap w:val="false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Цел</w:t>
            </w:r>
            <w:r>
              <w:rPr>
                <w:bCs/>
                <w:sz w:val="28"/>
                <w:szCs w:val="28"/>
              </w:rPr>
              <w:t xml:space="preserve">и</w:t>
            </w:r>
            <w:r>
              <w:rPr>
                <w:bCs/>
                <w:sz w:val="28"/>
                <w:szCs w:val="28"/>
              </w:rPr>
              <w:t xml:space="preserve"> Программы: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Задачи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Программы: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6468" w:type="dxa"/>
            <w:textDirection w:val="lrTb"/>
            <w:noWrap w:val="false"/>
          </w:tcPr>
          <w:p>
            <w:pPr>
              <w:pStyle w:val="8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качества и оперативности исполнения запросов граждан, органов государственной власти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документов Архивного фонда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Ленингра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и безопасности архи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фондов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материально-технической базы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архива, формирование и содержание архивных фондов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970"/>
        </w:trPr>
        <w:tc>
          <w:tcPr>
            <w:tcW w:w="3147" w:type="dxa"/>
            <w:textDirection w:val="lrTb"/>
            <w:noWrap w:val="false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Перечень целевых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показателей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Программы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46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</w:t>
            </w:r>
            <w:r>
              <w:rPr>
                <w:sz w:val="28"/>
                <w:szCs w:val="28"/>
              </w:rPr>
              <w:t xml:space="preserve"> сохранност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архивных документов, хранящихся в нормативных условиях до 100%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70"/>
        </w:trPr>
        <w:tc>
          <w:tcPr>
            <w:tcW w:w="3147" w:type="dxa"/>
            <w:textDirection w:val="lrTb"/>
            <w:noWrap w:val="false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Этапы и сроки 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 xml:space="preserve">реализации Программы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646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 предусмотрены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21</w:t>
            </w:r>
            <w:r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433"/>
        </w:trPr>
        <w:tc>
          <w:tcPr>
            <w:tcW w:w="3147" w:type="dxa"/>
            <w:textDirection w:val="lrTb"/>
            <w:noWrap w:val="false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Объемы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</w:t>
            </w:r>
            <w:r>
              <w:rPr>
                <w:bCs/>
                <w:sz w:val="28"/>
                <w:szCs w:val="28"/>
              </w:rPr>
              <w:t xml:space="preserve">юджетных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ассигнований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W w:w="6468" w:type="dxa"/>
            <w:textDirection w:val="lrTb"/>
            <w:noWrap w:val="false"/>
          </w:tcPr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spacing w:val="-2"/>
                <w:sz w:val="28"/>
                <w:szCs w:val="28"/>
              </w:rPr>
              <w:t xml:space="preserve">соста</w:t>
            </w: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  <w:t xml:space="preserve">ляет </w:t>
            </w:r>
            <w:r>
              <w:rPr>
                <w:spacing w:val="-2"/>
                <w:sz w:val="28"/>
                <w:szCs w:val="28"/>
              </w:rPr>
              <w:t xml:space="preserve">22217</w:t>
            </w:r>
            <w:r>
              <w:rPr>
                <w:spacing w:val="-2"/>
                <w:sz w:val="28"/>
                <w:szCs w:val="28"/>
              </w:rPr>
              <w:t xml:space="preserve">,</w:t>
            </w:r>
            <w:r>
              <w:rPr>
                <w:spacing w:val="-2"/>
                <w:sz w:val="28"/>
                <w:szCs w:val="28"/>
              </w:rPr>
              <w:t xml:space="preserve">5</w:t>
            </w:r>
            <w:r>
              <w:rPr>
                <w:spacing w:val="-2"/>
                <w:sz w:val="28"/>
                <w:szCs w:val="28"/>
              </w:rPr>
              <w:t xml:space="preserve"> тыс.</w:t>
            </w:r>
            <w:r>
              <w:rPr>
                <w:spacing w:val="-4"/>
                <w:sz w:val="28"/>
                <w:szCs w:val="28"/>
              </w:rPr>
              <w:t xml:space="preserve"> рублей, в том числе: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за счет средств местного бюджета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– </w:t>
            </w:r>
            <w:r>
              <w:rPr>
                <w:spacing w:val="-4"/>
                <w:sz w:val="28"/>
                <w:szCs w:val="28"/>
              </w:rPr>
              <w:t xml:space="preserve">22217</w:t>
            </w:r>
            <w:r>
              <w:rPr>
                <w:spacing w:val="-4"/>
                <w:sz w:val="28"/>
                <w:szCs w:val="28"/>
              </w:rPr>
              <w:t xml:space="preserve">,</w:t>
            </w:r>
            <w:r>
              <w:rPr>
                <w:spacing w:val="-4"/>
                <w:sz w:val="28"/>
                <w:szCs w:val="28"/>
              </w:rPr>
              <w:t xml:space="preserve">5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тыс. рублей, из них по годам: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</w:t>
            </w:r>
            <w:r>
              <w:rPr>
                <w:spacing w:val="-4"/>
                <w:sz w:val="28"/>
                <w:szCs w:val="28"/>
              </w:rPr>
              <w:t xml:space="preserve">1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>
              <w:rPr>
                <w:spacing w:val="-4"/>
                <w:sz w:val="28"/>
                <w:szCs w:val="28"/>
              </w:rPr>
              <w:t xml:space="preserve">.</w:t>
            </w:r>
            <w:r>
              <w:rPr>
                <w:spacing w:val="-4"/>
                <w:sz w:val="28"/>
                <w:szCs w:val="28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 xml:space="preserve">3</w:t>
            </w:r>
            <w:r>
              <w:rPr>
                <w:spacing w:val="-4"/>
                <w:sz w:val="28"/>
                <w:szCs w:val="28"/>
              </w:rPr>
              <w:t xml:space="preserve">073,6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 xml:space="preserve">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2022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>
              <w:rPr>
                <w:spacing w:val="-4"/>
                <w:sz w:val="28"/>
                <w:szCs w:val="28"/>
              </w:rPr>
              <w:t xml:space="preserve">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3575,3</w:t>
            </w:r>
            <w:r>
              <w:rPr>
                <w:spacing w:val="-4"/>
                <w:sz w:val="28"/>
                <w:szCs w:val="28"/>
              </w:rPr>
              <w:t xml:space="preserve"> тыс. руб.;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2023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>
              <w:rPr>
                <w:spacing w:val="-4"/>
                <w:sz w:val="28"/>
                <w:szCs w:val="28"/>
              </w:rPr>
              <w:t xml:space="preserve">.</w:t>
            </w:r>
            <w:r>
              <w:rPr>
                <w:spacing w:val="-4"/>
                <w:sz w:val="28"/>
                <w:szCs w:val="28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 xml:space="preserve">3795,1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 xml:space="preserve">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</w:t>
            </w:r>
            <w:r>
              <w:rPr>
                <w:spacing w:val="-4"/>
                <w:sz w:val="28"/>
                <w:szCs w:val="28"/>
              </w:rPr>
              <w:t xml:space="preserve">4</w:t>
            </w:r>
            <w:r>
              <w:rPr>
                <w:spacing w:val="-4"/>
                <w:sz w:val="28"/>
                <w:szCs w:val="28"/>
              </w:rPr>
              <w:t xml:space="preserve"> г. – 3</w:t>
            </w:r>
            <w:r>
              <w:rPr>
                <w:spacing w:val="-4"/>
                <w:sz w:val="28"/>
                <w:szCs w:val="28"/>
              </w:rPr>
              <w:t xml:space="preserve">924</w:t>
            </w:r>
            <w:r>
              <w:rPr>
                <w:spacing w:val="-4"/>
                <w:sz w:val="28"/>
                <w:szCs w:val="28"/>
              </w:rPr>
              <w:t xml:space="preserve">,5 тыс. руб.</w:t>
            </w:r>
            <w:r>
              <w:rPr>
                <w:spacing w:val="-4"/>
                <w:sz w:val="28"/>
                <w:szCs w:val="28"/>
              </w:rPr>
              <w:t xml:space="preserve">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2025 г. – 3</w:t>
            </w:r>
            <w:r>
              <w:rPr>
                <w:spacing w:val="-4"/>
                <w:sz w:val="28"/>
                <w:szCs w:val="28"/>
              </w:rPr>
              <w:t xml:space="preserve">924</w:t>
            </w:r>
            <w:r>
              <w:rPr>
                <w:spacing w:val="-4"/>
                <w:sz w:val="28"/>
                <w:szCs w:val="28"/>
              </w:rPr>
              <w:t xml:space="preserve">,</w:t>
            </w:r>
            <w:r>
              <w:rPr>
                <w:spacing w:val="-4"/>
                <w:sz w:val="28"/>
                <w:szCs w:val="28"/>
              </w:rPr>
              <w:t xml:space="preserve">5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 xml:space="preserve">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</w:t>
            </w:r>
            <w:r>
              <w:rPr>
                <w:spacing w:val="-4"/>
                <w:sz w:val="28"/>
                <w:szCs w:val="28"/>
              </w:rPr>
              <w:t xml:space="preserve">6 г. – 3924</w:t>
            </w:r>
            <w:r>
              <w:rPr>
                <w:spacing w:val="-4"/>
                <w:sz w:val="28"/>
                <w:szCs w:val="28"/>
              </w:rPr>
              <w:t xml:space="preserve">,</w:t>
            </w:r>
            <w:r>
              <w:rPr>
                <w:spacing w:val="-4"/>
                <w:sz w:val="28"/>
                <w:szCs w:val="28"/>
              </w:rPr>
              <w:t xml:space="preserve">5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за счет сре</w:t>
            </w:r>
            <w:r>
              <w:rPr>
                <w:spacing w:val="-4"/>
                <w:sz w:val="28"/>
                <w:szCs w:val="28"/>
              </w:rPr>
              <w:t xml:space="preserve">дств кр</w:t>
            </w:r>
            <w:r>
              <w:rPr>
                <w:spacing w:val="-4"/>
                <w:sz w:val="28"/>
                <w:szCs w:val="28"/>
              </w:rPr>
              <w:t xml:space="preserve">аевого бюджета – </w:t>
            </w:r>
            <w:r>
              <w:rPr>
                <w:spacing w:val="-4"/>
                <w:sz w:val="28"/>
                <w:szCs w:val="28"/>
              </w:rPr>
              <w:t xml:space="preserve">0</w:t>
            </w:r>
            <w:r>
              <w:rPr>
                <w:spacing w:val="-4"/>
                <w:sz w:val="28"/>
                <w:szCs w:val="28"/>
              </w:rPr>
              <w:t xml:space="preserve">,</w:t>
            </w:r>
            <w:r>
              <w:rPr>
                <w:spacing w:val="-4"/>
                <w:sz w:val="28"/>
                <w:szCs w:val="28"/>
              </w:rPr>
              <w:t xml:space="preserve">00</w:t>
            </w:r>
            <w:r>
              <w:rPr>
                <w:spacing w:val="-4"/>
                <w:sz w:val="28"/>
                <w:szCs w:val="28"/>
              </w:rPr>
              <w:t xml:space="preserve"> тыс. рублей, из них по годам: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2021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>
              <w:rPr>
                <w:spacing w:val="-4"/>
                <w:sz w:val="28"/>
                <w:szCs w:val="28"/>
              </w:rPr>
              <w:t xml:space="preserve">.</w:t>
            </w:r>
            <w:r>
              <w:rPr>
                <w:spacing w:val="-4"/>
                <w:sz w:val="28"/>
                <w:szCs w:val="28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 xml:space="preserve">0</w:t>
            </w:r>
            <w:r>
              <w:rPr>
                <w:spacing w:val="-4"/>
                <w:sz w:val="28"/>
                <w:szCs w:val="28"/>
              </w:rPr>
              <w:t xml:space="preserve">,</w:t>
            </w:r>
            <w:r>
              <w:rPr>
                <w:spacing w:val="-4"/>
                <w:sz w:val="28"/>
                <w:szCs w:val="28"/>
              </w:rPr>
              <w:t xml:space="preserve">00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 xml:space="preserve">; 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2022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>
              <w:rPr>
                <w:spacing w:val="-4"/>
                <w:sz w:val="28"/>
                <w:szCs w:val="28"/>
              </w:rPr>
              <w:t xml:space="preserve">.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–</w:t>
            </w:r>
            <w:r>
              <w:rPr>
                <w:spacing w:val="-4"/>
                <w:sz w:val="28"/>
                <w:szCs w:val="28"/>
              </w:rPr>
              <w:t xml:space="preserve"> 0</w:t>
            </w:r>
            <w:r>
              <w:rPr>
                <w:spacing w:val="-4"/>
                <w:sz w:val="28"/>
                <w:szCs w:val="28"/>
              </w:rPr>
              <w:t xml:space="preserve">,</w:t>
            </w:r>
            <w:r>
              <w:rPr>
                <w:spacing w:val="-4"/>
                <w:sz w:val="28"/>
                <w:szCs w:val="28"/>
              </w:rPr>
              <w:t xml:space="preserve">00</w:t>
            </w:r>
            <w:r>
              <w:rPr>
                <w:spacing w:val="-4"/>
                <w:sz w:val="28"/>
                <w:szCs w:val="28"/>
              </w:rPr>
              <w:t xml:space="preserve"> тыс. руб.;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</w:t>
            </w:r>
            <w:r>
              <w:rPr>
                <w:spacing w:val="-4"/>
                <w:sz w:val="28"/>
                <w:szCs w:val="28"/>
              </w:rPr>
              <w:t xml:space="preserve">3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>
              <w:rPr>
                <w:spacing w:val="-4"/>
                <w:sz w:val="28"/>
                <w:szCs w:val="28"/>
              </w:rPr>
              <w:t xml:space="preserve">.</w:t>
            </w:r>
            <w:r>
              <w:rPr>
                <w:spacing w:val="-4"/>
                <w:sz w:val="28"/>
                <w:szCs w:val="28"/>
              </w:rPr>
              <w:t xml:space="preserve"> – 0,0</w:t>
            </w:r>
            <w:r>
              <w:rPr>
                <w:spacing w:val="-4"/>
                <w:sz w:val="28"/>
                <w:szCs w:val="28"/>
              </w:rPr>
              <w:t xml:space="preserve">0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 xml:space="preserve">;</w: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2024 г. – 0,00 тыс. руб.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;</w:t>
            </w:r>
            <w:r>
              <w:rPr>
                <w:color w:val="000000"/>
                <w:spacing w:val="-4"/>
                <w:sz w:val="28"/>
                <w:szCs w:val="28"/>
              </w:rPr>
            </w:r>
            <w:r>
              <w:rPr>
                <w:color w:val="000000"/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2025 г. – 0,00 тыс. руб.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;</w:t>
            </w:r>
            <w:r>
              <w:rPr>
                <w:color w:val="000000"/>
                <w:spacing w:val="-4"/>
                <w:sz w:val="28"/>
                <w:szCs w:val="28"/>
              </w:rPr>
            </w:r>
            <w:r>
              <w:rPr>
                <w:color w:val="000000"/>
                <w:spacing w:val="-4"/>
                <w:sz w:val="28"/>
                <w:szCs w:val="28"/>
              </w:rPr>
            </w:r>
          </w:p>
          <w:p>
            <w:pPr>
              <w:jc w:val="both"/>
              <w:shd w:val="clear" w:color="auto" w:fill="ffffff"/>
              <w:tabs>
                <w:tab w:val="left" w:pos="2880" w:leader="none"/>
              </w:tabs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202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6 г. – 0,00 тыс. руб.</w:t>
            </w:r>
            <w:r>
              <w:rPr>
                <w:color w:val="000000"/>
                <w:spacing w:val="-4"/>
                <w:sz w:val="28"/>
                <w:szCs w:val="28"/>
              </w:rPr>
            </w:r>
            <w:r>
              <w:rPr>
                <w:color w:val="000000"/>
                <w:spacing w:val="-4"/>
                <w:sz w:val="28"/>
                <w:szCs w:val="28"/>
              </w:rPr>
            </w:r>
          </w:p>
        </w:tc>
      </w:tr>
    </w:tbl>
    <w:p>
      <w:pPr>
        <w:jc w:val="both"/>
        <w:shd w:val="clear" w:color="auto" w:fill="ffffff"/>
        <w:tabs>
          <w:tab w:val="left" w:pos="2880" w:leader="none"/>
        </w:tabs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94"/>
        <w:numPr>
          <w:ilvl w:val="0"/>
          <w:numId w:val="1"/>
        </w:num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Характеристика текущего состояния и прогноз развития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9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соответствующей сферы реализации Программы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94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рограмма «</w:t>
      </w:r>
      <w:r>
        <w:rPr>
          <w:sz w:val="28"/>
          <w:szCs w:val="28"/>
        </w:rPr>
        <w:t xml:space="preserve">Развитие архивного дела в муниципальном образовании 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нинградский район»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именуется </w:t>
      </w:r>
      <w:r>
        <w:rPr>
          <w:sz w:val="28"/>
          <w:szCs w:val="28"/>
        </w:rPr>
        <w:t xml:space="preserve">– Программа) </w:t>
      </w:r>
      <w:r>
        <w:rPr>
          <w:sz w:val="28"/>
          <w:szCs w:val="28"/>
        </w:rPr>
        <w:t xml:space="preserve">разработана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исполн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ние </w:t>
      </w:r>
      <w:r>
        <w:rPr>
          <w:sz w:val="28"/>
          <w:szCs w:val="28"/>
        </w:rPr>
        <w:t xml:space="preserve">законодательства об архивном деле в Российской Федерации и Краснода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ском крае.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Одной из главных проблем современного развития архивной отрасли я</w:t>
      </w: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</w:rPr>
        <w:t xml:space="preserve">ляется ежегодно увеличивающийся объем архивных документов, в связи с комплектованием архива документами постоянного хранения. Ежегодно, св</w:t>
      </w:r>
      <w:r>
        <w:rPr>
          <w:bCs/>
          <w:sz w:val="28"/>
          <w:szCs w:val="28"/>
        </w:rPr>
        <w:t xml:space="preserve">ы</w:t>
      </w:r>
      <w:r>
        <w:rPr>
          <w:bCs/>
          <w:sz w:val="28"/>
          <w:szCs w:val="28"/>
        </w:rPr>
        <w:t xml:space="preserve">ше тысячи единиц хранения поступает на муниципальное хранение, что влечет за собой сохранность архивных документов.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Процессы информатизации современной жизни настоятельно требуют от муниципального архива внедрения информационных технологий с целью б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лее оперативного и качественного удовлетворения запросов пользователей.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хранения документов - система мероприятий, включающая рациональное размещение документов, контроль за их движением и физич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ским состоянием.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обеспечения сохранности документов в архиве должен осуществляться </w:t>
      </w:r>
      <w:r>
        <w:rPr>
          <w:sz w:val="28"/>
          <w:szCs w:val="28"/>
        </w:rPr>
        <w:t xml:space="preserve">санитарно-гигиенический режим хранения с </w:t>
      </w:r>
      <w:r>
        <w:rPr>
          <w:sz w:val="28"/>
          <w:szCs w:val="28"/>
        </w:rPr>
        <w:t xml:space="preserve">соблюдени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нормативных условий хранения документов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Бактерии, вирусы и другие ми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роорганизмы окружают нас повсеместно. Одним из наиболее эффективных м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тодов борьбы с микробами</w:t>
      </w:r>
      <w:r>
        <w:rPr>
          <w:sz w:val="28"/>
          <w:szCs w:val="28"/>
        </w:rPr>
        <w:t xml:space="preserve"> на поверхностях</w:t>
      </w:r>
      <w:r>
        <w:rPr>
          <w:sz w:val="28"/>
          <w:szCs w:val="28"/>
        </w:rPr>
        <w:t xml:space="preserve"> является ультрафиолетовое изл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чение</w:t>
      </w:r>
      <w:r>
        <w:rPr>
          <w:sz w:val="28"/>
          <w:szCs w:val="28"/>
        </w:rPr>
        <w:t xml:space="preserve"> бактерицидной лампы.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left" w:pos="709" w:leader="none"/>
          <w:tab w:val="left" w:pos="851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Приоритетным направлением в области использования архивных док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ментов является проведение работ по их переводу в электронный формат. С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здание электронных архивов и современного научно-справочного аппарата к ним – требование времени и потребность общества. Это четко сформулировано в Концепции развития архивного дела в Российской Федерации до 2022 г. А</w:t>
      </w:r>
      <w:r>
        <w:rPr>
          <w:bCs/>
          <w:sz w:val="28"/>
          <w:szCs w:val="28"/>
        </w:rPr>
        <w:t xml:space="preserve">к</w:t>
      </w:r>
      <w:r>
        <w:rPr>
          <w:bCs/>
          <w:sz w:val="28"/>
          <w:szCs w:val="28"/>
        </w:rPr>
        <w:t xml:space="preserve">тивизация работы по переводу архивных документов и научно-справочного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аппарата к ним в электронный формат требует немалых затрат на приобрет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ние современного компьютерного оборудования.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составлена с учетом потребностей муниципального архива и возможностей муниципального образования Ленинградский район в решении задач по развитию архивного дела в муниципальном образовании, обеспеч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нию сохранности архивных документов.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способствует достижению стратегической цели - повышению уровня обеспечения сохранности и безопасности архивных фондов на 100%.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направлена на решение задач: </w:t>
      </w:r>
      <w:r>
        <w:rPr>
          <w:sz w:val="28"/>
          <w:szCs w:val="28"/>
        </w:rPr>
        <w:t xml:space="preserve">обеспечение сохранности и бе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опасности архивных фондов, укрепление материально-технической базы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ниципального архива,</w:t>
      </w:r>
      <w:r>
        <w:rPr>
          <w:bCs/>
          <w:sz w:val="28"/>
          <w:szCs w:val="28"/>
        </w:rPr>
        <w:t xml:space="preserve"> формирования и содержания архивных фондов в период с 20</w:t>
      </w:r>
      <w:r>
        <w:rPr>
          <w:bCs/>
          <w:sz w:val="28"/>
          <w:szCs w:val="28"/>
        </w:rPr>
        <w:t xml:space="preserve">21</w:t>
      </w:r>
      <w:r>
        <w:rPr>
          <w:bCs/>
          <w:sz w:val="28"/>
          <w:szCs w:val="28"/>
        </w:rPr>
        <w:t xml:space="preserve"> по 202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г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Цели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задачи</w:t>
      </w:r>
      <w:r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целевые показатели</w:t>
      </w:r>
      <w:r>
        <w:rPr>
          <w:bCs/>
          <w:sz w:val="28"/>
          <w:szCs w:val="28"/>
        </w:rPr>
        <w:t xml:space="preserve">, сроки и этапы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Цели, задачи и целевые показатели муниципальной программы определ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ются согласно приложению 1 к настоящей муниципальной программе.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возможна корректировка</w:t>
      </w:r>
      <w:r>
        <w:rPr>
          <w:sz w:val="28"/>
          <w:szCs w:val="28"/>
        </w:rPr>
        <w:t xml:space="preserve"> значений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целевых показат</w:t>
      </w:r>
      <w:r>
        <w:rPr>
          <w:sz w:val="28"/>
          <w:szCs w:val="28"/>
          <w:shd w:val="clear" w:color="auto" w:fill="ffffff"/>
        </w:rPr>
        <w:t xml:space="preserve">е</w:t>
      </w:r>
      <w:r>
        <w:rPr>
          <w:sz w:val="28"/>
          <w:szCs w:val="28"/>
          <w:shd w:val="clear" w:color="auto" w:fill="ffffff"/>
        </w:rPr>
        <w:t xml:space="preserve">лей </w:t>
      </w:r>
      <w:r>
        <w:rPr>
          <w:sz w:val="28"/>
          <w:szCs w:val="28"/>
        </w:rPr>
        <w:t xml:space="preserve">в 2021 –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годах в зависимости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 xml:space="preserve">промежуточного </w:t>
      </w:r>
      <w:r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достижения целевых показателей </w:t>
      </w:r>
      <w:r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пальной программы.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numPr>
          <w:ilvl w:val="0"/>
          <w:numId w:val="2"/>
        </w:numPr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Перечень и краткое описание основных мероприятий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муниципальной программы с указанием источников и объемов финансирования, сроков их реализации определяется согласно приложению 2 к настоящей муниципальной программе.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программой не предусмотрена реализация подпрограмм и ведомственных целевых программ.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0" w:firstLine="567"/>
        <w:jc w:val="both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возможна корректировка </w:t>
      </w:r>
      <w:r>
        <w:rPr>
          <w:sz w:val="28"/>
          <w:szCs w:val="28"/>
          <w:shd w:val="clear" w:color="auto" w:fill="ffffff"/>
        </w:rPr>
        <w:t xml:space="preserve">мероприятий </w:t>
      </w:r>
      <w:r>
        <w:rPr>
          <w:sz w:val="28"/>
          <w:szCs w:val="28"/>
        </w:rPr>
        <w:t xml:space="preserve">в зависимости от результатов анализа эффективности их реализации в предыдущем году и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становки новых задач в рамках реализации муниципальной программы.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numPr>
          <w:ilvl w:val="0"/>
          <w:numId w:val="2"/>
        </w:num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Обоснование </w:t>
      </w:r>
      <w:r>
        <w:rPr>
          <w:b w:val="0"/>
          <w:bCs w:val="0"/>
          <w:sz w:val="28"/>
          <w:szCs w:val="28"/>
        </w:rPr>
        <w:t xml:space="preserve">ресурсного</w:t>
      </w:r>
      <w:r>
        <w:rPr>
          <w:b w:val="0"/>
          <w:bCs w:val="0"/>
          <w:sz w:val="28"/>
          <w:szCs w:val="28"/>
        </w:rPr>
        <w:t xml:space="preserve"> обеспечения </w:t>
      </w:r>
      <w:r>
        <w:rPr>
          <w:b w:val="0"/>
          <w:bCs w:val="0"/>
          <w:sz w:val="28"/>
          <w:szCs w:val="28"/>
        </w:rPr>
        <w:t xml:space="preserve">муниципальной программы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6"/>
        <w:ind w:left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94"/>
        <w:ind w:left="0" w:firstLine="567"/>
        <w:jc w:val="both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будет осуществляться в соответствии с действ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ющим законодательством за счет средств бюджета муниципального образов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ния</w:t>
      </w:r>
      <w:r>
        <w:rPr>
          <w:sz w:val="28"/>
          <w:szCs w:val="28"/>
        </w:rPr>
        <w:t xml:space="preserve"> Ленинградский район в пределах лимитов, установленных на очередной финансовый год.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0" w:firstLine="567"/>
        <w:jc w:val="both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муниципальной п</w:t>
      </w:r>
      <w:r>
        <w:rPr>
          <w:sz w:val="28"/>
          <w:szCs w:val="28"/>
        </w:rPr>
        <w:t xml:space="preserve">рограммы составляет </w:t>
      </w:r>
      <w:r>
        <w:rPr>
          <w:sz w:val="28"/>
          <w:szCs w:val="28"/>
        </w:rPr>
        <w:t xml:space="preserve">22217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</w:t>
      </w:r>
      <w:r>
        <w:rPr>
          <w:sz w:val="28"/>
          <w:szCs w:val="28"/>
        </w:rPr>
        <w:t xml:space="preserve">лей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годам: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073,6</w:t>
      </w:r>
      <w:r>
        <w:rPr>
          <w:sz w:val="28"/>
          <w:szCs w:val="28"/>
        </w:rPr>
        <w:t xml:space="preserve"> тыс. руб., 20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3575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тыс. руб.,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bookmarkStart w:id="0" w:name="_Hlk532455014"/>
      <w:r>
        <w:rPr>
          <w:sz w:val="28"/>
          <w:szCs w:val="28"/>
        </w:rPr>
        <w:t xml:space="preserve">–</w:t>
      </w:r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3795,1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2024 г. – 3</w:t>
      </w:r>
      <w:r>
        <w:rPr>
          <w:sz w:val="28"/>
          <w:szCs w:val="28"/>
        </w:rPr>
        <w:t xml:space="preserve">924</w:t>
      </w:r>
      <w:r>
        <w:rPr>
          <w:sz w:val="28"/>
          <w:szCs w:val="28"/>
        </w:rPr>
        <w:t xml:space="preserve">,5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</w:t>
      </w:r>
      <w:r>
        <w:rPr>
          <w:sz w:val="28"/>
          <w:szCs w:val="28"/>
        </w:rPr>
        <w:t xml:space="preserve">, 2025 г. – 3</w:t>
      </w:r>
      <w:r>
        <w:rPr>
          <w:sz w:val="28"/>
          <w:szCs w:val="28"/>
        </w:rPr>
        <w:t xml:space="preserve">924,5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г. – 3</w:t>
      </w:r>
      <w:r>
        <w:rPr>
          <w:sz w:val="28"/>
          <w:szCs w:val="28"/>
        </w:rPr>
        <w:t xml:space="preserve">924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тыс. руб.</w:t>
      </w:r>
      <w:bookmarkStart w:id="1" w:name="_GoBack"/>
      <w:r/>
      <w:bookmarkEnd w:id="1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ind w:left="0" w:firstLine="567"/>
        <w:jc w:val="both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Мероприятия, объемы и источники финансирования могут корректир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ваться </w:t>
      </w:r>
      <w:r>
        <w:rPr>
          <w:sz w:val="28"/>
          <w:szCs w:val="28"/>
        </w:rPr>
        <w:t xml:space="preserve">в зависимости от принятых на региональном </w:t>
      </w:r>
      <w:r>
        <w:rPr>
          <w:sz w:val="28"/>
          <w:szCs w:val="28"/>
        </w:rPr>
        <w:t xml:space="preserve">и муниципальном </w:t>
      </w:r>
      <w:r>
        <w:rPr>
          <w:sz w:val="28"/>
          <w:szCs w:val="28"/>
        </w:rPr>
        <w:t xml:space="preserve">уровн</w:t>
      </w:r>
      <w:r>
        <w:rPr>
          <w:sz w:val="28"/>
          <w:szCs w:val="28"/>
        </w:rPr>
        <w:t xml:space="preserve">ях</w:t>
      </w:r>
      <w:r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 xml:space="preserve"> с учетом реальных возможностей местного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numPr>
          <w:ilvl w:val="0"/>
          <w:numId w:val="2"/>
        </w:numPr>
        <w:jc w:val="center"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  <w:t xml:space="preserve">Методика оценки эффективности реализации </w:t>
      </w:r>
      <w:r>
        <w:rPr>
          <w:bCs/>
          <w:sz w:val="28"/>
          <w:szCs w:val="28"/>
        </w:rPr>
        <w:br/>
        <w:t xml:space="preserve">муниципальной п</w:t>
      </w:r>
      <w:r>
        <w:rPr>
          <w:bCs/>
          <w:sz w:val="28"/>
          <w:szCs w:val="28"/>
        </w:rPr>
        <w:t xml:space="preserve">рограммы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94"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Методика оценки эффектив</w:t>
      </w:r>
      <w:r>
        <w:rPr>
          <w:sz w:val="28"/>
          <w:szCs w:val="28"/>
        </w:rPr>
        <w:t xml:space="preserve">ности реализации муниципальной </w:t>
      </w:r>
      <w:r>
        <w:rPr>
          <w:sz w:val="28"/>
          <w:szCs w:val="28"/>
        </w:rPr>
        <w:t xml:space="preserve">программы осуществляется в соответствии с 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иповой методикой оценки эффективности реализации муниципальной программы</w:t>
      </w:r>
      <w:r>
        <w:rPr>
          <w:sz w:val="28"/>
          <w:szCs w:val="28"/>
        </w:rPr>
        <w:t xml:space="preserve">, утвержденной </w:t>
      </w:r>
      <w:r>
        <w:rPr>
          <w:sz w:val="28"/>
          <w:szCs w:val="28"/>
        </w:rPr>
        <w:t xml:space="preserve">постановлением адм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нистрации муниципального образования от </w:t>
      </w:r>
      <w:r>
        <w:rPr>
          <w:sz w:val="28"/>
          <w:szCs w:val="28"/>
        </w:rPr>
        <w:t xml:space="preserve">28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1096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Порядка принятия решения о разработке, формирования, реал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зации и оценки эффективности реализации муниципальных программ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пального образования Ленинградский район»</w:t>
      </w:r>
      <w:r>
        <w:rPr>
          <w:sz w:val="28"/>
          <w:szCs w:val="28"/>
        </w:rPr>
        <w:t xml:space="preserve">» (с изменениями и дополнени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ми).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данных картотек, журналов регистрации приема граждан и заявлений, журнала регистрации пользователей, работающих в читальном зале, журнала регистрации посещений исследователей муниципального архива, э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фективность </w:t>
      </w:r>
      <w:r>
        <w:rPr>
          <w:sz w:val="28"/>
          <w:szCs w:val="28"/>
        </w:rPr>
        <w:t xml:space="preserve">муниципальной п</w:t>
      </w:r>
      <w:r>
        <w:rPr>
          <w:sz w:val="28"/>
          <w:szCs w:val="28"/>
        </w:rPr>
        <w:t xml:space="preserve">рограммы исчисляется средним числом польз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вателей от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000 –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500.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Значение показателя «</w:t>
      </w:r>
      <w:r>
        <w:rPr>
          <w:sz w:val="28"/>
          <w:szCs w:val="28"/>
        </w:rPr>
        <w:t xml:space="preserve">Доля архивных документов, хранящихся в норм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тивных условиях, от общего объема хранящихся документов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определяется по формуле: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rPr/>
              <m:t>Знач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rPr/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rPr/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норм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rPr/>
          <m:t>×100%</m:t>
        </m:r>
      </m:oMath>
      <w:r>
        <w:rPr>
          <w:sz w:val="28"/>
          <w:szCs w:val="28"/>
        </w:rPr>
        <w:t xml:space="preserve">, где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ind w:firstLine="540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rPr/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rPr/>
              <m:t>норм</m:t>
            </m:r>
          </m:sub>
        </m:sSub>
      </m:oMath>
      <w:r>
        <w:rPr>
          <w:sz w:val="28"/>
          <w:szCs w:val="28"/>
        </w:rPr>
        <w:t xml:space="preserve"> - количество документов архива муниципального</w:t>
      </w:r>
      <w:r>
        <w:rPr>
          <w:sz w:val="28"/>
          <w:szCs w:val="28"/>
        </w:rPr>
        <w:t xml:space="preserve"> образования 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нинградский район</w:t>
      </w:r>
      <w:r>
        <w:rPr>
          <w:sz w:val="28"/>
          <w:szCs w:val="28"/>
        </w:rPr>
        <w:t xml:space="preserve">, находящихся в нормативный условиях, обеспечивающих их постоянное (вечное) хранение,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ind w:firstLine="540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rPr/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rPr/>
              <m:t>общ</m:t>
            </m:r>
          </m:sub>
        </m:sSub>
      </m:oMath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обще</w:t>
      </w:r>
      <w:r>
        <w:rPr>
          <w:sz w:val="28"/>
          <w:szCs w:val="28"/>
        </w:rPr>
        <w:t xml:space="preserve">е количество</w:t>
      </w:r>
      <w:r>
        <w:rPr>
          <w:sz w:val="28"/>
          <w:szCs w:val="28"/>
        </w:rPr>
        <w:t xml:space="preserve"> документов архива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образования Ленинградский район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подлежащих к </w:t>
      </w:r>
      <w:r>
        <w:rPr>
          <w:sz w:val="28"/>
          <w:szCs w:val="28"/>
        </w:rPr>
        <w:t xml:space="preserve">постоянно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 (вечно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) хранени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Значение п</w:t>
      </w:r>
      <w:r>
        <w:rPr>
          <w:sz w:val="28"/>
          <w:szCs w:val="28"/>
        </w:rPr>
        <w:t xml:space="preserve">оказател</w:t>
      </w:r>
      <w:r>
        <w:rPr>
          <w:sz w:val="28"/>
          <w:szCs w:val="28"/>
        </w:rPr>
        <w:t xml:space="preserve">я «</w:t>
      </w:r>
      <w:r>
        <w:rPr>
          <w:sz w:val="28"/>
          <w:szCs w:val="28"/>
        </w:rPr>
        <w:t xml:space="preserve">Доля описаний дел архива муниципального образ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вания Ленинградский район, включенных в электронные описи и электронные каталоги от общего количества дел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определяются по формуле: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rPr/>
              <m:t>Знач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rPr/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rPr/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ДЭО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rPr/>
                  <m:t>Д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rPr/>
          <m:t>×100%</m:t>
        </m:r>
      </m:oMath>
      <w:r>
        <w:rPr>
          <w:sz w:val="28"/>
          <w:szCs w:val="28"/>
        </w:rPr>
        <w:t xml:space="preserve">, где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rPr/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rPr/>
              <m:t>ДЭО</m:t>
            </m:r>
          </m:sub>
        </m:sSub>
      </m:oMath>
      <w:r>
        <w:rPr>
          <w:sz w:val="28"/>
          <w:szCs w:val="28"/>
        </w:rPr>
        <w:t xml:space="preserve"> - количество дел, включенных в электронные описи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каталоги;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ind w:firstLine="540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rPr/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rPr/>
              <m:t>Д</m:t>
            </m:r>
          </m:sub>
        </m:sSub>
      </m:oMath>
      <w:r>
        <w:rPr>
          <w:sz w:val="28"/>
          <w:szCs w:val="28"/>
        </w:rPr>
        <w:t xml:space="preserve"> – количество дел, хранящихся в архиве</w:t>
      </w:r>
      <w:r>
        <w:rPr>
          <w:sz w:val="28"/>
          <w:szCs w:val="28"/>
        </w:rPr>
        <w:t xml:space="preserve"> муниципального образования Ленинградский район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center"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  <w:t xml:space="preserve">6. Механизм реализации муниципальной 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рограммы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 контроль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её выполнением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851"/>
        <w:jc w:val="center"/>
        <w:rPr>
          <w:bCs/>
          <w:sz w:val="28"/>
          <w:szCs w:val="28"/>
        </w:rPr>
        <w:outlineLvl w:val="0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реализацию муниципальной программы и ее мероприятий отвечает м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ниципальное каз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нное учреждения «Архив муниципального образования Л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нинградский район» (далее - Учреждение), т</w:t>
      </w:r>
      <w:r>
        <w:rPr>
          <w:bCs/>
          <w:sz w:val="28"/>
          <w:szCs w:val="28"/>
        </w:rPr>
        <w:t xml:space="preserve">екущее управление </w:t>
      </w:r>
      <w:r>
        <w:rPr>
          <w:bCs/>
          <w:sz w:val="28"/>
          <w:szCs w:val="28"/>
        </w:rPr>
        <w:t xml:space="preserve">муниципал</w:t>
      </w:r>
      <w:r>
        <w:rPr>
          <w:bCs/>
          <w:sz w:val="28"/>
          <w:szCs w:val="28"/>
        </w:rPr>
        <w:t xml:space="preserve">ь</w:t>
      </w:r>
      <w:r>
        <w:rPr>
          <w:bCs/>
          <w:sz w:val="28"/>
          <w:szCs w:val="28"/>
        </w:rPr>
        <w:t xml:space="preserve">ной п</w:t>
      </w:r>
      <w:r>
        <w:rPr>
          <w:bCs/>
          <w:sz w:val="28"/>
          <w:szCs w:val="28"/>
        </w:rPr>
        <w:t xml:space="preserve">рограммой и ответственность за реализацию ее мероприятий осуществ</w:t>
      </w:r>
      <w:r>
        <w:rPr>
          <w:bCs/>
          <w:sz w:val="28"/>
          <w:szCs w:val="28"/>
        </w:rPr>
        <w:t xml:space="preserve">л</w:t>
      </w:r>
      <w:r>
        <w:rPr>
          <w:bCs/>
          <w:sz w:val="28"/>
          <w:szCs w:val="28"/>
        </w:rPr>
        <w:t xml:space="preserve">я</w:t>
      </w:r>
      <w:r>
        <w:rPr>
          <w:bCs/>
          <w:sz w:val="28"/>
          <w:szCs w:val="28"/>
        </w:rPr>
        <w:t xml:space="preserve">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администрация муниципального образования Ленинградский район (далее - Администрация) на основании разработанных смет и заключенных договоров.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реализацию целевой программы и ее мероприятий отвечает муниц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пальное каз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нное учреждения «Архив муниципального образования Лени</w:t>
      </w:r>
      <w:r>
        <w:rPr>
          <w:bCs/>
          <w:sz w:val="28"/>
          <w:szCs w:val="28"/>
        </w:rPr>
        <w:t xml:space="preserve">н</w:t>
      </w:r>
      <w:r>
        <w:rPr>
          <w:bCs/>
          <w:sz w:val="28"/>
          <w:szCs w:val="28"/>
        </w:rPr>
        <w:t xml:space="preserve">градский район» (далее - Учреждение), т</w:t>
      </w:r>
      <w:r>
        <w:rPr>
          <w:bCs/>
          <w:sz w:val="28"/>
          <w:szCs w:val="28"/>
        </w:rPr>
        <w:t xml:space="preserve">екущее управление Программой и о</w:t>
      </w:r>
      <w:r>
        <w:rPr>
          <w:bCs/>
          <w:sz w:val="28"/>
          <w:szCs w:val="28"/>
        </w:rPr>
        <w:t xml:space="preserve">т</w:t>
      </w:r>
      <w:r>
        <w:rPr>
          <w:bCs/>
          <w:sz w:val="28"/>
          <w:szCs w:val="28"/>
        </w:rPr>
        <w:t xml:space="preserve">ветственность за реализацию ее мероприятий осуществ</w:t>
      </w:r>
      <w:r>
        <w:rPr>
          <w:bCs/>
          <w:sz w:val="28"/>
          <w:szCs w:val="28"/>
        </w:rPr>
        <w:t xml:space="preserve">ляет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администрация муниципального образования Ленинградский район (далее - Администрация) на основании разработанных смет и заключенных договоров.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процессе реализации </w:t>
      </w:r>
      <w:r>
        <w:rPr>
          <w:bCs/>
          <w:sz w:val="28"/>
          <w:szCs w:val="28"/>
        </w:rPr>
        <w:t xml:space="preserve">целевой п</w:t>
      </w:r>
      <w:r>
        <w:rPr>
          <w:bCs/>
          <w:sz w:val="28"/>
          <w:szCs w:val="28"/>
        </w:rPr>
        <w:t xml:space="preserve">рограммы </w:t>
      </w:r>
      <w:r>
        <w:rPr>
          <w:bCs/>
          <w:sz w:val="28"/>
          <w:szCs w:val="28"/>
        </w:rPr>
        <w:t xml:space="preserve">Учреждение</w:t>
      </w:r>
      <w:r>
        <w:rPr>
          <w:bCs/>
          <w:sz w:val="28"/>
          <w:szCs w:val="28"/>
        </w:rPr>
        <w:t xml:space="preserve">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обеспечивает своевременную, плановую работу по обслуживанию населения и </w:t>
      </w:r>
      <w:r>
        <w:rPr>
          <w:sz w:val="28"/>
          <w:szCs w:val="28"/>
        </w:rPr>
        <w:t xml:space="preserve">реализацию полномочий органов местного самоуправления муниципального образования Ленинградский район по формированию и содержанию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пального архива, который осуществляет хранение, комплектование, учет и и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пользование документов Архивного фонда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7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осуществляет</w:t>
      </w:r>
      <w:r>
        <w:rPr>
          <w:bCs/>
          <w:sz w:val="28"/>
          <w:szCs w:val="28"/>
        </w:rPr>
        <w:t xml:space="preserve"> реализацию мероприятий настоящей Программы в рамках действующего законодательства Российской Федерации, правовых актов Кра</w:t>
      </w:r>
      <w:r>
        <w:rPr>
          <w:bCs/>
          <w:sz w:val="28"/>
          <w:szCs w:val="28"/>
        </w:rPr>
        <w:t xml:space="preserve">с</w:t>
      </w:r>
      <w:r>
        <w:rPr>
          <w:bCs/>
          <w:sz w:val="28"/>
          <w:szCs w:val="28"/>
        </w:rPr>
        <w:t xml:space="preserve">нодарского края, муниципального образования Ленинградский район, в пред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лах денежных средств определенных настоящей Программой;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учетом выделенных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</w:t>
      </w:r>
      <w:r>
        <w:rPr>
          <w:bCs/>
          <w:sz w:val="28"/>
          <w:szCs w:val="28"/>
        </w:rPr>
        <w:t xml:space="preserve">ханизму реализации Программы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осуществляет подготовку предложений по корректировке Программы;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разрабатывает в пределах своих полномочий правовые акты,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необход</w:t>
      </w:r>
      <w:r>
        <w:rPr>
          <w:bCs/>
          <w:sz w:val="28"/>
          <w:szCs w:val="28"/>
        </w:rPr>
        <w:t xml:space="preserve">и</w:t>
      </w:r>
      <w:r>
        <w:rPr>
          <w:bCs/>
          <w:sz w:val="28"/>
          <w:szCs w:val="28"/>
        </w:rPr>
        <w:t xml:space="preserve">мые для выполнения Программы;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разрабатывает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перечень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целевых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индикаторов 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показ</w:t>
      </w:r>
      <w:r>
        <w:rPr>
          <w:bCs/>
          <w:sz w:val="28"/>
          <w:szCs w:val="28"/>
        </w:rPr>
        <w:t xml:space="preserve">атели </w:t>
      </w:r>
      <w:r>
        <w:rPr>
          <w:bCs/>
          <w:sz w:val="28"/>
          <w:szCs w:val="28"/>
        </w:rPr>
        <w:t xml:space="preserve">мониторинга ре</w:t>
      </w:r>
      <w:r>
        <w:rPr>
          <w:bCs/>
          <w:sz w:val="28"/>
          <w:szCs w:val="28"/>
        </w:rPr>
        <w:t xml:space="preserve">ализации программных мероприятий</w:t>
      </w:r>
      <w:r>
        <w:rPr>
          <w:bCs/>
          <w:sz w:val="28"/>
          <w:szCs w:val="28"/>
        </w:rPr>
        <w:t xml:space="preserve">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обеспечивает организацию и проведение торгов в соответствии с де</w:t>
      </w:r>
      <w:r>
        <w:rPr>
          <w:bCs/>
          <w:sz w:val="28"/>
          <w:szCs w:val="28"/>
        </w:rPr>
        <w:t xml:space="preserve">й</w:t>
      </w:r>
      <w:r>
        <w:rPr>
          <w:bCs/>
          <w:sz w:val="28"/>
          <w:szCs w:val="28"/>
        </w:rPr>
        <w:t xml:space="preserve">ствующим законодательством;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осуществляет ведение отчетности по реализации Программы;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осуществляет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подготовку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докл</w:t>
      </w:r>
      <w:r>
        <w:rPr>
          <w:bCs/>
          <w:sz w:val="28"/>
          <w:szCs w:val="28"/>
        </w:rPr>
        <w:t xml:space="preserve">ада о ходе реализации Программы;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86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ежегодно представляет в управление экономического развития, админ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страции муниципального образования Ленинградский район форму отчета в срок до 15 февраля года </w:t>
      </w:r>
      <w:r>
        <w:rPr>
          <w:b w:val="0"/>
          <w:sz w:val="28"/>
          <w:szCs w:val="28"/>
        </w:rPr>
        <w:t xml:space="preserve">следующего за отчетным.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886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Механизм реализации Программы предполагает закупку товаров, работ услуг для муниципальных нужд за счет средств местного бюджета в соотве</w:t>
      </w:r>
      <w:r>
        <w:rPr>
          <w:b w:val="0"/>
          <w:sz w:val="28"/>
          <w:szCs w:val="28"/>
        </w:rPr>
        <w:t xml:space="preserve">т</w:t>
      </w:r>
      <w:r>
        <w:rPr>
          <w:b w:val="0"/>
          <w:sz w:val="28"/>
          <w:szCs w:val="28"/>
        </w:rPr>
        <w:t xml:space="preserve">ствии с Федеральным законом от 5 апреля 2013 г</w:t>
      </w:r>
      <w:r>
        <w:rPr>
          <w:b w:val="0"/>
          <w:sz w:val="28"/>
          <w:szCs w:val="28"/>
        </w:rPr>
        <w:t xml:space="preserve">.</w:t>
      </w:r>
      <w:r>
        <w:rPr>
          <w:b w:val="0"/>
          <w:sz w:val="28"/>
          <w:szCs w:val="28"/>
        </w:rPr>
        <w:t xml:space="preserve"> № 44-ФЗ «О контрактной 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стеме в сфере закупок товаров, работ, услуг для обеспечения государственных и муниципальных нужд».</w:t>
      </w:r>
      <w:r>
        <w:rPr>
          <w:b w:val="0"/>
          <w:sz w:val="28"/>
          <w:szCs w:val="28"/>
        </w:rPr>
        <w:t xml:space="preserve">»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</w:t>
      </w:r>
      <w:r>
        <w:rPr>
          <w:sz w:val="28"/>
          <w:szCs w:val="28"/>
        </w:rPr>
        <w:t xml:space="preserve"> главы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</w:rPr>
      </w:pPr>
      <w:r>
        <w:rPr>
          <w:sz w:val="28"/>
          <w:szCs w:val="28"/>
        </w:rPr>
        <w:t xml:space="preserve">Ленинградский район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В.Н.Шерстобитов</w:t>
      </w:r>
      <w:r>
        <w:rPr>
          <w:b/>
        </w:rPr>
      </w:r>
      <w:r>
        <w:rPr>
          <w:b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24" w:bottom="1134" w:left="1701" w:header="425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ahoma">
    <w:panose1 w:val="020B060604050402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59450027"/>
      <w:docPartObj>
        <w:docPartGallery w:val="Page Numbers (Top of Page)"/>
        <w:docPartUnique w:val="true"/>
      </w:docPartObj>
      <w:rPr/>
    </w:sdtPr>
    <w:sdtContent>
      <w:p>
        <w:pPr>
          <w:pStyle w:val="8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>
      <w:rPr>
        <w:rStyle w:val="890"/>
      </w:rPr>
    </w:r>
  </w:p>
  <w:p>
    <w:pPr>
      <w:pStyle w:val="88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basedOn w:val="882"/>
    <w:next w:val="882"/>
    <w:link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0">
    <w:name w:val="Heading 1 Char"/>
    <w:basedOn w:val="883"/>
    <w:link w:val="709"/>
    <w:uiPriority w:val="9"/>
    <w:rPr>
      <w:rFonts w:ascii="Arial" w:hAnsi="Arial" w:eastAsia="Arial" w:cs="Arial"/>
      <w:sz w:val="40"/>
      <w:szCs w:val="40"/>
    </w:rPr>
  </w:style>
  <w:style w:type="paragraph" w:styleId="711">
    <w:name w:val="Heading 2"/>
    <w:basedOn w:val="882"/>
    <w:next w:val="882"/>
    <w:link w:val="7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basedOn w:val="883"/>
    <w:link w:val="711"/>
    <w:uiPriority w:val="9"/>
    <w:rPr>
      <w:rFonts w:ascii="Arial" w:hAnsi="Arial" w:eastAsia="Arial" w:cs="Arial"/>
      <w:sz w:val="34"/>
    </w:rPr>
  </w:style>
  <w:style w:type="paragraph" w:styleId="713">
    <w:name w:val="Heading 3"/>
    <w:basedOn w:val="882"/>
    <w:next w:val="882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basedOn w:val="883"/>
    <w:link w:val="713"/>
    <w:uiPriority w:val="9"/>
    <w:rPr>
      <w:rFonts w:ascii="Arial" w:hAnsi="Arial" w:eastAsia="Arial" w:cs="Arial"/>
      <w:sz w:val="30"/>
      <w:szCs w:val="30"/>
    </w:rPr>
  </w:style>
  <w:style w:type="paragraph" w:styleId="715">
    <w:name w:val="Heading 4"/>
    <w:basedOn w:val="882"/>
    <w:next w:val="882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basedOn w:val="883"/>
    <w:link w:val="715"/>
    <w:uiPriority w:val="9"/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2"/>
    <w:next w:val="882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basedOn w:val="883"/>
    <w:link w:val="717"/>
    <w:uiPriority w:val="9"/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2"/>
    <w:next w:val="882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basedOn w:val="883"/>
    <w:link w:val="719"/>
    <w:uiPriority w:val="9"/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2"/>
    <w:next w:val="882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basedOn w:val="883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2"/>
    <w:next w:val="882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basedOn w:val="883"/>
    <w:link w:val="723"/>
    <w:uiPriority w:val="9"/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2"/>
    <w:next w:val="882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basedOn w:val="883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Title"/>
    <w:basedOn w:val="882"/>
    <w:next w:val="882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basedOn w:val="883"/>
    <w:link w:val="727"/>
    <w:uiPriority w:val="10"/>
    <w:rPr>
      <w:sz w:val="48"/>
      <w:szCs w:val="48"/>
    </w:rPr>
  </w:style>
  <w:style w:type="paragraph" w:styleId="729">
    <w:name w:val="Subtitle"/>
    <w:basedOn w:val="882"/>
    <w:next w:val="882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basedOn w:val="883"/>
    <w:link w:val="729"/>
    <w:uiPriority w:val="11"/>
    <w:rPr>
      <w:sz w:val="24"/>
      <w:szCs w:val="24"/>
    </w:rPr>
  </w:style>
  <w:style w:type="paragraph" w:styleId="731">
    <w:name w:val="Quote"/>
    <w:basedOn w:val="882"/>
    <w:next w:val="882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2"/>
    <w:next w:val="882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3"/>
    <w:link w:val="888"/>
    <w:uiPriority w:val="99"/>
  </w:style>
  <w:style w:type="character" w:styleId="736">
    <w:name w:val="Footer Char"/>
    <w:basedOn w:val="883"/>
    <w:link w:val="898"/>
    <w:uiPriority w:val="99"/>
  </w:style>
  <w:style w:type="paragraph" w:styleId="737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898"/>
    <w:uiPriority w:val="99"/>
  </w:style>
  <w:style w:type="table" w:styleId="739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3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3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  <w:style w:type="paragraph" w:styleId="886">
    <w:name w:val="Body Text 2"/>
    <w:basedOn w:val="882"/>
    <w:link w:val="887"/>
    <w:pPr>
      <w:jc w:val="both"/>
    </w:pPr>
    <w:rPr>
      <w:b/>
      <w:bCs/>
      <w:sz w:val="27"/>
      <w:szCs w:val="27"/>
    </w:rPr>
  </w:style>
  <w:style w:type="character" w:styleId="887" w:customStyle="1">
    <w:name w:val="Основной текст 2 Знак"/>
    <w:basedOn w:val="883"/>
    <w:link w:val="886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888">
    <w:name w:val="Header"/>
    <w:basedOn w:val="882"/>
    <w:link w:val="889"/>
    <w:uiPriority w:val="99"/>
    <w:pPr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883"/>
    <w:link w:val="88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0">
    <w:name w:val="page number"/>
    <w:basedOn w:val="883"/>
  </w:style>
  <w:style w:type="paragraph" w:styleId="891" w:customStyle="1">
    <w:name w:val="ConsPlusNonformat"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92">
    <w:name w:val="No Spacing"/>
    <w:uiPriority w:val="1"/>
    <w:qFormat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93" w:customStyle="1">
    <w:name w:val="consplusnormal"/>
    <w:basedOn w:val="882"/>
    <w:pPr>
      <w:spacing w:before="100" w:beforeAutospacing="1" w:after="100" w:afterAutospacing="1"/>
    </w:pPr>
  </w:style>
  <w:style w:type="paragraph" w:styleId="894">
    <w:name w:val="List Paragraph"/>
    <w:basedOn w:val="882"/>
    <w:uiPriority w:val="34"/>
    <w:qFormat/>
    <w:pPr>
      <w:contextualSpacing/>
      <w:ind w:left="720"/>
    </w:pPr>
  </w:style>
  <w:style w:type="paragraph" w:styleId="895">
    <w:name w:val="Balloon Text"/>
    <w:basedOn w:val="882"/>
    <w:link w:val="896"/>
    <w:uiPriority w:val="99"/>
    <w:semiHidden/>
    <w:unhideWhenUsed/>
    <w:rPr>
      <w:rFonts w:ascii="Tahoma" w:hAnsi="Tahoma" w:cs="Tahoma"/>
      <w:sz w:val="16"/>
      <w:szCs w:val="16"/>
    </w:rPr>
  </w:style>
  <w:style w:type="character" w:styleId="896" w:customStyle="1">
    <w:name w:val="Текст выноски Знак"/>
    <w:basedOn w:val="883"/>
    <w:link w:val="89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897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8">
    <w:name w:val="Footer"/>
    <w:basedOn w:val="882"/>
    <w:link w:val="89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883"/>
    <w:link w:val="89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E54AC-2BE3-4934-BA94-9C872512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revision>20</cp:revision>
  <dcterms:created xsi:type="dcterms:W3CDTF">2022-12-06T13:58:00Z</dcterms:created>
  <dcterms:modified xsi:type="dcterms:W3CDTF">2024-10-29T08:09:57Z</dcterms:modified>
</cp:coreProperties>
</file>