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</w:pPr>
      <w:r>
        <w:tab/>
      </w:r>
      <w:r/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eastAsia="FreeSerif" w:cs="FreeSerif"/>
          <w:sz w:val="28"/>
          <w:szCs w:val="28"/>
          <w:highlight w:val="none"/>
        </w:rPr>
        <w:t xml:space="preserve"> 6</w:t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к решению Совета</w:t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муниципального образования 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Ленинградский муниципальный округ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cs="FreeSerif"/>
          <w:sz w:val="28"/>
          <w:szCs w:val="28"/>
          <w14:ligatures w14:val="none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ind w:left="0" w:right="0" w:firstLine="4535"/>
        <w:shd w:val="nil" w:color="000000"/>
        <w:rPr>
          <w:rFonts w:ascii="FreeSerif" w:hAnsi="FreeSerif" w:cs="FreeSerif"/>
          <w:sz w:val="28"/>
          <w:szCs w:val="28"/>
          <w14:ligatures w14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29.01.2026 г. № 2</w:t>
      </w:r>
      <w:r>
        <w:rPr>
          <w:rFonts w:ascii="FreeSerif" w:hAnsi="FreeSerif" w:cs="FreeSerif"/>
          <w:sz w:val="28"/>
          <w:szCs w:val="28"/>
          <w14:ligatures w14:val="none"/>
        </w:rPr>
      </w:r>
      <w:r>
        <w:rPr>
          <w:rFonts w:ascii="FreeSerif" w:hAnsi="FreeSerif" w:cs="FreeSerif"/>
          <w:sz w:val="28"/>
          <w:szCs w:val="28"/>
          <w14:ligatures w14:val="none"/>
        </w:rPr>
      </w:r>
    </w:p>
    <w:p>
      <w:pPr>
        <w:pStyle w:val="833"/>
        <w:contextualSpacing/>
        <w:jc w:val="right"/>
        <w:spacing w:before="0" w:after="0"/>
      </w:pPr>
      <w:r/>
      <w:r/>
    </w:p>
    <w:p>
      <w:pPr>
        <w:pStyle w:val="851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Перечень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муниципального имущества, закрепленного на праве оперативного управления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51"/>
        <w:contextualSpacing/>
        <w:jc w:val="center"/>
        <w:spacing w:before="280" w:after="280"/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за </w:t>
      </w:r>
      <w:r>
        <w:rPr>
          <w:rFonts w:ascii="FreeSerif" w:hAnsi="FreeSerif" w:eastAsia="FreeSerif" w:cs="FreeSerif"/>
          <w:b/>
          <w:bCs/>
          <w:i w:val="0"/>
          <w:strike w:val="0"/>
          <w:color w:val="000000"/>
          <w:sz w:val="28"/>
          <w:szCs w:val="28"/>
          <w:u w:val="none"/>
          <w:vertAlign w:val="baseline"/>
        </w:rPr>
        <w:t xml:space="preserve">муниципальным бюджетным образовательным учреждением средней общеобразовательной школой № 8 имени А.Н. Докучая поселка Бичевого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 и подлежащего передаче в безвозмездное пользование </w:t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  <w:r>
        <w:rPr>
          <w:rFonts w:ascii="FreeSerif" w:hAnsi="FreeSerif" w:eastAsia="FreeSerif" w:cs="FreeSerif"/>
          <w:b/>
          <w:bCs/>
          <w:sz w:val="28"/>
          <w:szCs w:val="28"/>
          <w:highlight w:val="none"/>
        </w:rPr>
      </w:r>
    </w:p>
    <w:p>
      <w:pPr>
        <w:pStyle w:val="851"/>
        <w:contextualSpacing/>
        <w:jc w:val="center"/>
        <w:spacing w:before="280" w:after="280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pStyle w:val="851"/>
        <w:contextualSpacing/>
        <w:jc w:val="center"/>
        <w:spacing w:before="280" w:after="280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Нежилые помещения: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tbl>
      <w:tblPr>
        <w:tblW w:w="0" w:type="auto"/>
        <w:tblInd w:w="-395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846"/>
        <w:gridCol w:w="326"/>
        <w:gridCol w:w="2359"/>
        <w:gridCol w:w="3910"/>
        <w:gridCol w:w="850"/>
        <w:gridCol w:w="1630"/>
      </w:tblGrid>
      <w:tr>
        <w:tblPrEx/>
        <w:trPr>
          <w:trHeight w:val="50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846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N 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</w:tcBorders>
            <w:tcW w:w="6595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Наименование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имущества, местонахождение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248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Инвентарный номер, количество (шт.)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95" w:type="dxa"/>
            <w:vAlign w:val="top"/>
            <w:textDirection w:val="lrTb"/>
            <w:noWrap w:val="false"/>
          </w:tcPr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Помещение столовой (номер на поэтажном плане 13, 14, 15, 16), площадью 85,4 кв.м, 1-й этаж в здании школы  литер А, А2, расположенном по адресу: пос. Бичевой,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ул. Школьная, 20 «А»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8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1010003, 1шт.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gridSpan w:val="6"/>
            <w:tcBorders>
              <w:top w:val="single" w:color="000000" w:sz="4" w:space="0"/>
              <w:left w:val="none" w:color="000000" w:sz="6" w:space="0"/>
              <w:bottom w:val="none" w:color="000000" w:sz="4" w:space="0"/>
              <w:right w:val="none" w:color="000000" w:sz="6" w:space="0"/>
            </w:tcBorders>
            <w:tcW w:w="992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  <w:highlight w:val="none"/>
                <w:lang w:bidi="hi-IN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pStyle w:val="833"/>
              <w:jc w:val="center"/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pPr>
            <w:r>
              <w:rPr>
                <w:rFonts w:ascii="FreeSerif" w:hAnsi="FreeSerif" w:eastAsia="FreeSerif" w:cs="FreeSerif"/>
                <w:bCs/>
                <w:sz w:val="28"/>
                <w:szCs w:val="28"/>
                <w:lang w:bidi="hi-IN"/>
              </w:rPr>
              <w:t xml:space="preserve">Технологическое и иное оборудование:</w:t>
            </w: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FreeSerif" w:hAnsi="FreeSerif" w:eastAsia="FreeSerif" w:cs="FreeSerif"/>
                <w:sz w:val="24"/>
                <w:szCs w:val="24"/>
                <w:highlight w:val="none"/>
                <w:lang w:bidi="hi-IN"/>
              </w:rPr>
            </w:pPr>
            <w:r>
              <w:rPr>
                <w:rFonts w:ascii="FreeSerif" w:hAnsi="FreeSerif" w:eastAsia="FreeSerif" w:cs="FreeSerif"/>
                <w:bCs/>
                <w:sz w:val="24"/>
                <w:szCs w:val="24"/>
                <w:highlight w:val="none"/>
                <w:lang w:bidi="hi-IN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bidi="hi-IN"/>
              </w:rPr>
            </w:r>
            <w:r>
              <w:rPr>
                <w:rFonts w:ascii="FreeSerif" w:hAnsi="FreeSerif" w:eastAsia="FreeSerif" w:cs="FreeSerif"/>
                <w:sz w:val="24"/>
                <w:szCs w:val="24"/>
                <w:highlight w:val="none"/>
                <w:lang w:bidi="hi-IN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51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Инвентарный номер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51"/>
              <w:jc w:val="center"/>
              <w:spacing w:before="280" w:after="0"/>
              <w:widowControl w:val="off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Количество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2106380163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Ванна моечная 1-х секционная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43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2106380067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Ванна моечная 2-х секционная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2106380066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Ванна моечная 3-х секционная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2106380069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Стеллаж технологический СТ-4 (1000*400*1850мм.)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2106380060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Шкаф жарочный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2106380058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Шкаф холодил.ШХ-0,5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106000002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Вытяжка 3ВЭ 800-2П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2106380166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Мармит (мармит)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106000003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Посудомоечная машина Comenda LG321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313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Группа ос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Стол разделочный  1200х600х870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2106380114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Стол разделочный  1200х600х870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2106380115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Стол разделочный  1500х600х870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104000001 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Шкаф холодильный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104000002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Шкаф холодильный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106000004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Эл.мясорубка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106000001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Электроплита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12106380115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Шкаф холодильный Polair СВ-107 -S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18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2106380090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Весы механические циферблатные РН-6 (круглые)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210638089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Подтоварник  ПМК-1200*800*280 мм комб.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210638091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Стеллаж кухонный СКН-1410*610*1850мм. полностью из нерж.стали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106118216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водонагреватель накопительный POLARIS P100V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val="en-US"/>
              </w:rPr>
              <w:t xml:space="preserve">22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4101360637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Ванна моечная ЭКОНОМ ЦК ВМО2-700ЭЦК-М в комплекте со смесителем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23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35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з/б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76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Облучатель-рециркулятор Армед СН 211-130 М/1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172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24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359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2106380059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476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  <w:lang w:bidi="hi-IN"/>
              </w:rPr>
              <w:t xml:space="preserve">Шкаф холодил.СВ105-S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0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</w:t>
            </w:r>
            <w:r>
              <w:rPr>
                <w:rFonts w:ascii="FreeSerif" w:hAnsi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pStyle w:val="833"/>
      </w:pPr>
      <w:r/>
      <w:r/>
    </w:p>
    <w:p>
      <w:r/>
      <w:r/>
    </w:p>
    <w:p>
      <w:pPr>
        <w:pStyle w:val="833"/>
      </w:pPr>
      <w:r/>
      <w:r/>
    </w:p>
    <w:p>
      <w:pPr>
        <w:pStyle w:val="85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Заместитель главы </w:t>
      </w:r>
      <w:r/>
    </w:p>
    <w:p>
      <w:pPr>
        <w:pStyle w:val="85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Ленинградского муниципального округа, </w:t>
      </w:r>
      <w:r/>
    </w:p>
    <w:p>
      <w:pPr>
        <w:pStyle w:val="85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начальник отдела имущественных</w:t>
      </w:r>
      <w:r/>
    </w:p>
    <w:p>
      <w:pPr>
        <w:pStyle w:val="858"/>
        <w:ind w:left="0" w:right="0" w:hanging="425"/>
        <w:jc w:val="left"/>
      </w:pPr>
      <w:r>
        <w:rPr>
          <w:rFonts w:ascii="FreeSerif" w:hAnsi="FreeSerif" w:cs="FreeSerif"/>
          <w:sz w:val="28"/>
          <w:szCs w:val="28"/>
          <w:highlight w:val="none"/>
        </w:rPr>
        <w:t xml:space="preserve">отношений администрации                                                                      Р.Г. Тоцкая</w:t>
      </w:r>
      <w:r/>
    </w:p>
    <w:p>
      <w:pPr>
        <w:pStyle w:val="858"/>
        <w:ind w:left="0" w:right="0" w:hanging="425"/>
        <w:jc w:val="left"/>
        <w:rPr>
          <w:rFonts w:ascii="FreeSerif" w:hAnsi="FreeSerif" w:cs="FreeSerif"/>
          <w:sz w:val="28"/>
          <w:szCs w:val="28"/>
          <w:highlight w:val="none"/>
        </w:rPr>
      </w:pP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  <w:highlight w:val="none"/>
        </w:rPr>
      </w:r>
    </w:p>
    <w:p>
      <w:pPr>
        <w:pStyle w:val="833"/>
      </w:pPr>
      <w:r/>
      <w:r/>
    </w:p>
    <w:sectPr>
      <w:footnotePr>
        <w:numRestart w:val="continuous"/>
      </w:footnotePr>
      <w:endnotePr/>
      <w:type w:val="nextPage"/>
      <w:pgSz w:w="11906" w:h="16838" w:orient="portrait"/>
      <w:pgMar w:top="1134" w:right="850" w:bottom="1418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ourier New">
    <w:panose1 w:val="02070409020205020404"/>
  </w:font>
  <w:font w:name="FreeSerif">
    <w:panose1 w:val="020206030504050203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3"/>
    <w:next w:val="833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3"/>
    <w:next w:val="833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3"/>
    <w:next w:val="833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3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3"/>
    <w:next w:val="833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3"/>
    <w:next w:val="833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3"/>
    <w:next w:val="833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3"/>
    <w:next w:val="833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3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3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3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3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3"/>
    <w:next w:val="833"/>
    <w:uiPriority w:val="99"/>
    <w:unhideWhenUsed/>
    <w:pPr>
      <w:spacing w:after="0" w:afterAutospacing="0"/>
    </w:pPr>
  </w:style>
  <w:style w:type="table" w:styleId="83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33" w:default="1">
    <w:name w:val="Normal"/>
    <w:next w:val="833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834">
    <w:name w:val="WW8Num1z0"/>
    <w:next w:val="834"/>
    <w:link w:val="833"/>
  </w:style>
  <w:style w:type="character" w:styleId="835">
    <w:name w:val="WW8Num2z0"/>
    <w:next w:val="835"/>
    <w:link w:val="833"/>
  </w:style>
  <w:style w:type="character" w:styleId="836">
    <w:name w:val="WW8Num2z1"/>
    <w:next w:val="836"/>
    <w:link w:val="833"/>
  </w:style>
  <w:style w:type="character" w:styleId="837">
    <w:name w:val="WW8Num2z2"/>
    <w:next w:val="837"/>
    <w:link w:val="833"/>
  </w:style>
  <w:style w:type="character" w:styleId="838">
    <w:name w:val="WW8Num2z3"/>
    <w:next w:val="838"/>
    <w:link w:val="833"/>
  </w:style>
  <w:style w:type="character" w:styleId="839">
    <w:name w:val="WW8Num2z4"/>
    <w:next w:val="839"/>
    <w:link w:val="833"/>
  </w:style>
  <w:style w:type="character" w:styleId="840">
    <w:name w:val="WW8Num2z5"/>
    <w:next w:val="840"/>
    <w:link w:val="833"/>
  </w:style>
  <w:style w:type="character" w:styleId="841">
    <w:name w:val="WW8Num2z6"/>
    <w:next w:val="841"/>
    <w:link w:val="833"/>
  </w:style>
  <w:style w:type="character" w:styleId="842">
    <w:name w:val="WW8Num2z7"/>
    <w:next w:val="842"/>
    <w:link w:val="833"/>
  </w:style>
  <w:style w:type="character" w:styleId="843">
    <w:name w:val="WW8Num2z8"/>
    <w:next w:val="843"/>
    <w:link w:val="833"/>
  </w:style>
  <w:style w:type="character" w:styleId="844">
    <w:name w:val="Основной шрифт абзаца"/>
    <w:next w:val="844"/>
    <w:link w:val="833"/>
  </w:style>
  <w:style w:type="character" w:styleId="845">
    <w:name w:val="Обычный (веб) Знак"/>
    <w:next w:val="845"/>
    <w:link w:val="833"/>
    <w:rPr>
      <w:sz w:val="24"/>
      <w:szCs w:val="24"/>
    </w:rPr>
  </w:style>
  <w:style w:type="paragraph" w:styleId="846">
    <w:name w:val="Заголовок"/>
    <w:basedOn w:val="833"/>
    <w:next w:val="847"/>
    <w:link w:val="83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47">
    <w:name w:val="Основной текст"/>
    <w:basedOn w:val="833"/>
    <w:next w:val="847"/>
    <w:link w:val="833"/>
    <w:pPr>
      <w:spacing w:before="0" w:after="140" w:line="276" w:lineRule="auto"/>
    </w:pPr>
  </w:style>
  <w:style w:type="paragraph" w:styleId="848">
    <w:name w:val="Список"/>
    <w:basedOn w:val="847"/>
    <w:next w:val="848"/>
    <w:link w:val="833"/>
    <w:rPr>
      <w:rFonts w:cs="Arial"/>
    </w:rPr>
  </w:style>
  <w:style w:type="paragraph" w:styleId="849">
    <w:name w:val="Название"/>
    <w:basedOn w:val="833"/>
    <w:next w:val="849"/>
    <w:link w:val="833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50">
    <w:name w:val="Указатель"/>
    <w:basedOn w:val="833"/>
    <w:next w:val="850"/>
    <w:link w:val="833"/>
    <w:pPr>
      <w:suppressLineNumbers/>
    </w:pPr>
    <w:rPr>
      <w:rFonts w:cs="Arial"/>
    </w:rPr>
  </w:style>
  <w:style w:type="paragraph" w:styleId="851">
    <w:name w:val="Обычный (веб)"/>
    <w:basedOn w:val="833"/>
    <w:next w:val="851"/>
    <w:link w:val="833"/>
    <w:pPr>
      <w:spacing w:before="280" w:after="280"/>
    </w:pPr>
    <w:rPr>
      <w:lang w:val="en-US"/>
    </w:rPr>
  </w:style>
  <w:style w:type="paragraph" w:styleId="852">
    <w:name w:val="ConsPlusNonformat"/>
    <w:next w:val="852"/>
    <w:link w:val="833"/>
    <w:pPr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853">
    <w:name w:val="Текст выноски"/>
    <w:basedOn w:val="833"/>
    <w:next w:val="853"/>
    <w:link w:val="833"/>
    <w:rPr>
      <w:rFonts w:ascii="Tahoma" w:hAnsi="Tahoma" w:cs="Tahoma"/>
      <w:sz w:val="16"/>
      <w:szCs w:val="16"/>
    </w:rPr>
  </w:style>
  <w:style w:type="paragraph" w:styleId="854">
    <w:name w:val="Содержимое таблицы"/>
    <w:basedOn w:val="833"/>
    <w:next w:val="854"/>
    <w:link w:val="833"/>
    <w:pPr>
      <w:suppressLineNumbers/>
    </w:pPr>
  </w:style>
  <w:style w:type="paragraph" w:styleId="855">
    <w:name w:val="Заголовок таблицы"/>
    <w:basedOn w:val="854"/>
    <w:next w:val="855"/>
    <w:link w:val="833"/>
    <w:pPr>
      <w:jc w:val="center"/>
      <w:suppressLineNumbers/>
    </w:pPr>
    <w:rPr>
      <w:b/>
      <w:bCs/>
    </w:rPr>
  </w:style>
  <w:style w:type="character" w:styleId="856" w:default="1">
    <w:name w:val="Default Paragraph Font"/>
    <w:uiPriority w:val="1"/>
    <w:semiHidden/>
    <w:unhideWhenUsed/>
  </w:style>
  <w:style w:type="numbering" w:styleId="857" w:default="1">
    <w:name w:val="No List"/>
    <w:uiPriority w:val="99"/>
    <w:semiHidden/>
    <w:unhideWhenUsed/>
  </w:style>
  <w:style w:type="paragraph" w:styleId="858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2"/>
      <w:highlight w:val="none"/>
      <w:u w:val="none"/>
      <w:vertAlign w:val="baseline"/>
      <w:rtl w:val="0"/>
      <w:cs w:val="0"/>
      <w:lang w:val="ru-RU" w:eastAsia="ar-S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elenka</dc:creator>
  <cp:revision>13</cp:revision>
  <dcterms:created xsi:type="dcterms:W3CDTF">2024-01-11T07:53:00Z</dcterms:created>
  <dcterms:modified xsi:type="dcterms:W3CDTF">2026-02-03T14:31:44Z</dcterms:modified>
</cp:coreProperties>
</file>