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ст. Ленинградская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администрация, каб. №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заседания: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8"/>
        <w:gridCol w:w="6387"/>
        <w:gridCol w:w="174"/>
      </w:tblGrid>
      <w:tr>
        <w:trPr>
          <w:gridAfter w:val="1"/>
          <w:trHeight w:val="56"/>
        </w:trPr>
        <w:tc>
          <w:tcPr>
            <w:shd w:val="clear" w:color="auto" w:fill="ffffff"/>
            <w:tcW w:w="30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W w:w="6387" w:type="dxa"/>
            <w:textDirection w:val="lrTb"/>
            <w:noWrap w:val="false"/>
          </w:tcPr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shd w:val="clear" w:color="auto" w:fill="ffffff"/>
            <w:tcW w:w="30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Шулико Юрий Юрьевич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Головатский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Денис Леонидович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Бараник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Черныш 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Юлиана Игоревна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Блоха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Геннадий Дмитриевич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Ушкань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Игорь Николаевич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Деркач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Олег Анатольевич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Запорожец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Валерий Викторович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Коровайный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Максим Александрович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Ериновская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Александровна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Мишняков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Иванович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Коваленко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Анжелика Геннадьевна</w:t>
            </w:r>
            <w:r/>
          </w:p>
        </w:tc>
        <w:tc>
          <w:tcPr>
            <w:gridSpan w:val="2"/>
            <w:shd w:val="clear" w:color="auto" w:fill="ffffff"/>
            <w:tcW w:w="656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глава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председатель Совета;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юридического отдела администрации муниципального образования, секретарь Совета;</w:t>
            </w:r>
            <w:r/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Коржовского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Новоуманского сельского поселения Ленинградского района;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Новоплатнировского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главы муниципального образования Ленинградский район;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Крыловского сельского поселения Ленинградского района;</w:t>
            </w:r>
            <w:r/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Восточного сельского поселения Ленинградского района;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Первомайского сельского поселения Ленинградского района;</w:t>
            </w:r>
            <w:r/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исполняющий обязанности главы Куликовского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образования Ленинградский район, начальник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управления сельского хозяйства, перерабатывающей промышленности и охраны окружающей среды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администрации;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главный редактор газеты «Степные зори» 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(по согласованию);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shd w:val="clear" w:color="auto" w:fill="ffffff"/>
            <w:tcW w:w="30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Офицерова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Юрьевна</w:t>
            </w:r>
            <w:r/>
          </w:p>
        </w:tc>
        <w:tc>
          <w:tcPr>
            <w:gridSpan w:val="2"/>
            <w:shd w:val="clear" w:color="auto" w:fill="ffffff"/>
            <w:tcW w:w="656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юридического отдела администрации муниципального образования;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shd w:val="clear" w:color="ffffff" w:fill="ffffff"/>
            <w:tcW w:w="307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6561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shd w:val="clear" w:color="auto" w:fill="ffffff"/>
            <w:tcW w:w="30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Цымбал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Ольга Викторовна 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Шевченко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Татьяна Леонидовна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Пруцкова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Людмила Викторовна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 Сергей Борисович</w:t>
            </w:r>
            <w:r/>
          </w:p>
        </w:tc>
        <w:tc>
          <w:tcPr>
            <w:gridSpan w:val="2"/>
            <w:shd w:val="clear" w:color="auto" w:fill="ffffff"/>
            <w:tcW w:w="656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Образцового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Западного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глава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Уманского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исполняющий обязанности главы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Ленинградского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сельского поселения Ленинградского района;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Повестка дня: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7"/>
        </w:numPr>
        <w:jc w:val="both"/>
        <w:spacing w:after="0" w:line="240" w:lineRule="auto"/>
        <w:widowControl w:val="off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плана антикоррупционных мероприятий по противодействию коррупции на территории муниципального образования Ленинградский район за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>
        <w:rPr>
          <w:rFonts w:ascii="Times New Roman" w:hAnsi="Times New Roman" w:cs="Times New Roman"/>
          <w:sz w:val="28"/>
          <w:szCs w:val="28"/>
        </w:rPr>
        <w:t xml:space="preserve">Е.Ю.Офицерова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Рассмотрения вопросов повестки дня: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вопрос:</w:t>
      </w:r>
      <w:r/>
    </w:p>
    <w:p>
      <w:pPr>
        <w:pStyle w:val="845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исполнении плана антикоррупционных мероприятий по противодействию коррупции на территории муниципального образования Ленинградский район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Ленинградский район от 24 апреля 2015 года №348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мониторинге восприятия уровня коррупции в органах местного самоуправления муниципального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(далее - постановление №348)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район, а также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утверждена методика мониторинга восприятия уровня коррупции в органах местного самоуправления муниципального образования Ленинградский район. Согласно п.6 Положения о порядке мониторинга восприятия уровня коррупции в органах местного самоуправления муници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пального образования Ленинградский район, утвержденного постановлением №348, ежегодно, в срок до 1 апреля года, следующего за отчетным, формируется отчет о результатах проеденного мониторинга и оценки уровня восприятия коррупции в муниципальном образовании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а также доклад по итогам года о восприятии уровня коррупции в органах местного самоуправления муниципального образования Ленинградский район со стороны общества и бизнеса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размещается в средствах массовой информации района.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Показатели, по которым осуществляется мониторинг и оценка уровня восприятия коррупции: 1. Характеристика практики бытовой коррупции; 2. Характеристик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практики деловой коррупции; 3. Доверие к органам местного самоуправления муниципального образования Ленинградский район со стороны граждан; 4. Доверие к органам местного самоуправления муниципального образования Ленинградский район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стороны бизнеса; 5. Оценка гражданами коррумпированности органов местного самоуправления муниципального образования Ленинградский район; 6. Оценка бизнесом коррумпированности органов местного самоуправления муниципального образования Ленинградский район.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Доклад о мониторинге восприятия уровня коррупции в муниципальном образовании Ленинградский район в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опубликован на официальном сайте администрации муниципального образования Ленинградский район (</w:t>
      </w:r>
      <w:hyperlink r:id="rId10" w:tooltip="http://adminlenkub.ru/region/stopkor/analiz.php" w:history="1">
        <w:r>
          <w:rPr>
            <w:rStyle w:val="855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http://adminlenkub.ru/region/stopkor/analiz.php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Ленинградский район от 29 апреля 2015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ода №364 Утверждена методика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ерженных риску коррупции. Мониторинг коррупционных рисков проводится на основании данных полученных в результате: независимой экспертизы проектов нормативных правовых актов органов местного самоуправления муниципального образования Ленинградский район на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оррупциогенность;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коррупциогенность; общественной экспертизы социально - значимых решений органов местного самоуправления 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ниципального образования Ленинградский район и отраслевых (функциональных) органов администрации муниципального образования Ленинградский район, подведомственных им учреждений; экспертизы жалоб и обращений граждан по телефону «горячей линии»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Ленинградский район на наличие сведений о фактах коррупции; мониторинга восприятия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уровня коррупции в органах местного самоуправления муниципального образования Ленинградский район; статистического наблюдения за уровнем регистрируемых коррупционных правонарушений. Согласно оценке граждан и представителей бизнеса, наиболее коррумпированн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 сферой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среди отраслевых (функциональных) органов администрации муниципального образования Ленинградский район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сфер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архитектуры, имущественных отношений и муниципальных закупок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основании проведенного анализа указанной информации, в целях дальнейшей нейтрализации коррупционных рисков предлагается: 1. Довести отчет до сведения руководителей всех 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уктурных подразделений администрации муниципального образования Ленинградский район, глав поселений Ленинградского района. 2. Руководителям структурных подразделений администрации муниципального образования Ленинградский район, главам поселений Ленинградск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ого района продолжать проводить работу среди подчиненных о недопущении фактов коррупционных проявлений. 3. Руководителям структурных подразделений администрации муниципального образования Ленинградский район, которые в результате мониторинга по оценке граж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дан относятся к наиболее коррумпированным, продолжать проводить работу среди подчиненных о недопущении фактов взяточничества, стяжательства и получения подарков. Доклад о мониторинге коррупционных рисков в муниципальном образовании Ленинградский район в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опубликован на официальном сайте администрации муниципального образования Ленинградский район (</w:t>
      </w:r>
      <w:hyperlink r:id="rId11" w:tooltip="http://adminlenkub.ru/region/stopkor/analiz.php" w:history="1">
        <w:r>
          <w:rPr>
            <w:rStyle w:val="855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http://adminlenkub.ru/region/stopkor/analiz.php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Ленинградский район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марта 201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№3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 перечень,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должностей муниципальной службы администрации муниципального образования Ленинградский район, при назначении на которые граждане и при замещении которых мун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связи с утвержденными постановлением администрации муниципального образования Ленинградский район от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февраля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квалификационными требованиями для замещения должностей муниципальной службы в администрации муниципального образования Ленинградский район, руководствуясь Федеральным законом от 2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арта 2007 года N 25-ФЗ «О муниципальной службе в Российской Федерации», Законами Краснодарского края от 8 июня 2007 года N 1244-КЗ «О муниципальной службе в Краснодарском крае», от 8 июня 2007 года N 1243-КЗ «О Реестре  должностей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муниципальной службы в Краснодарском крае», от 3 мая 2012 года N 2490-КЗ «О типовых квалификационных требованиях для замещения должностей муниципальной службы в Краснодарском крае», положением о муниципальной службе в администрации муниципального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образования Ленинградский район, в должностные инструкции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сотрудников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включены положения, способствующие своевременному предотвращению, выявлению и урегулирования конфликта интересов и направленные на противодействие коррупции.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сельских поселениях отклонений от установленных норм, определяемых должностными инструкциями муниципальных служащих, замещающих должности муниципальной службы, подве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рженные риску коррупционных проявлений, не зафиксировано; факторов, способствующих ненадлежащему исполнению либо превышению должностных обязанностей, не выявлено; необходимость внесения изменений в должностные инструкции муниципальных служащих отсутствует.</w:t>
      </w:r>
      <w:r/>
    </w:p>
    <w:p>
      <w:pPr>
        <w:pStyle w:val="865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Муниципальными служащими и всеми лицами, претендующими на замещение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лжностей муниципальной службы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используется специальное программное обеспечени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«Справки БК».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Отделом кадров и муниципальной службы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администрации проводилась консультативная помощь муниципальным служащим администрации, лицам замещающим должност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муниципальной службы и специалистам по общим вопросам сельских поселений Ленинградского района по вопросу заполнения сведений о доходах, имуществе и обязательствах имущественного характера с использованием специальное программное обеспечения «Справки БК»</w:t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отчетный период, с использованием специального программного обеспечения «Справки БК» муниципальными служащими администрации муниципального образования Ленинградский район было представлено и проанализировано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отчетный период, с использованием специального программного обеспечения «Справки БК» муниципальными служащими сельских поселений Ленинградского района было представлено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 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отчетный период было представлено и проанализировано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руководителей муниципальных учреждений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муниципальных служащих, впервые поступивших на муниципальную службу, по образовательным программам в области противодействия коррупции за счет средств местного бюджета и краевого бюджета в отчетном периоде не проводилось. 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служащих сельских поселений Ленинградского района впервые поступивших на муниципальную службу, по образовательным программам в области противодействия коррупции за счет средств местных бюджетов и краевого бюджета в отчетном периоде не проводилось.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п</w:t>
      </w:r>
      <w:r>
        <w:rPr>
          <w:rFonts w:ascii="Times New Roman" w:hAnsi="Times New Roman" w:cs="Times New Roman"/>
          <w:sz w:val="28"/>
          <w:szCs w:val="28"/>
        </w:rPr>
        <w:t xml:space="preserve">овышение квалификации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входит участие в противодействии коррупции за счет краевого бюджета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Краснодарского края «Региональная политика и развитие гражданского общества» по направлению «Основы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ктики коррупции» в </w:t>
      </w:r>
      <w:r>
        <w:rPr>
          <w:rFonts w:ascii="Times New Roman" w:hAnsi="Times New Roman" w:cs="Times New Roman"/>
          <w:sz w:val="28"/>
          <w:szCs w:val="28"/>
        </w:rPr>
        <w:t xml:space="preserve">Северо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Кавказск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 xml:space="preserve">ом центре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муниципальных служащих, в области противодействия коррупции для муниципальных служащих, в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 за счет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 </w:t>
      </w:r>
      <w:r>
        <w:rPr>
          <w:rFonts w:ascii="Times New Roman" w:hAnsi="Times New Roman" w:cs="Times New Roman"/>
          <w:sz w:val="28"/>
          <w:szCs w:val="28"/>
        </w:rPr>
        <w:t xml:space="preserve"> бюджета в отчетном периоде не проводилось.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муниципальных служащих сельских поселений Ленинградского района в области противодействия коррупции для муниципальных служащих, в должностн</w:t>
      </w:r>
      <w:r>
        <w:rPr>
          <w:rFonts w:ascii="Times New Roman" w:hAnsi="Times New Roman" w:cs="Times New Roman"/>
          <w:sz w:val="28"/>
          <w:szCs w:val="28"/>
        </w:rPr>
        <w:t xml:space="preserve">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 в отчетном период не проводилось.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соответствии с Законом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30.12.2013 № 2875-КЗ "О порядке проверки достоверности и полноты сведений, представляемых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обязанностей"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достоверности и полноты сведений о доходах, об имуществе и обязательствах имущественного характера, представленных муниципальными служащими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отчетном периоде не проводились.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отчетном периоде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нет.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униципальных служащих, привлеченных к дисциплинарной ответственности по результатам проведенных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нет.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униципальных служащих, уволенных в связи с утратой доверия по результатам проведенных проверок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отчетном периоде отсутствуют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каких-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конт</w:t>
      </w:r>
      <w:r>
        <w:rPr>
          <w:rFonts w:ascii="Times New Roman" w:hAnsi="Times New Roman" w:cs="Times New Roman"/>
          <w:sz w:val="28"/>
          <w:szCs w:val="28"/>
        </w:rPr>
        <w:t xml:space="preserve">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установлено, что за отчетный период главе муниципального образования Ленинградский район (работодателю)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главам сельских поселений Ленинградского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уведомлений от сотрудников не поступало.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урнал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уведомлений представителя нанимателя (работодателя) о выполнении муниципальными служащими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служащие</w:t>
      </w:r>
      <w:r>
        <w:rPr>
          <w:rFonts w:ascii="Times New Roman" w:hAnsi="Times New Roman" w:cs="Times New Roman"/>
          <w:sz w:val="28"/>
          <w:szCs w:val="28"/>
        </w:rPr>
        <w:t xml:space="preserve">, которые не уведомили или несвоевременно увед</w:t>
      </w:r>
      <w:r>
        <w:rPr>
          <w:rFonts w:ascii="Times New Roman" w:hAnsi="Times New Roman" w:cs="Times New Roman"/>
          <w:sz w:val="28"/>
          <w:szCs w:val="28"/>
        </w:rPr>
        <w:t xml:space="preserve">омили 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отсутствуют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от 25 апреля 2014 года №23 «Об утверждении Положения о сообщении лицами, замещающими муниципальные должности, муниципальными служащими администрации муниципального образования Ленинградский район о получении подарка в связи с их должностным положени</w:t>
      </w:r>
      <w:r>
        <w:rPr>
          <w:rFonts w:ascii="Times New Roman" w:hAnsi="Times New Roman" w:cs="Times New Roman"/>
          <w:sz w:val="28"/>
          <w:szCs w:val="28"/>
        </w:rPr>
        <w:t xml:space="preserve">ем или исполнением ими должностных обязанностей, сдаче и оценке подарка, реализации (выкупе) и зачислении средств, вырученных от его реализации» (с изменениями от 29.03.2016г. №24) предусмотрено сообщение лицами, замещающими муниципальные должности,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обязанностей. По результатам мониторинга исполнения установленного Порядка сообщения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иципальными служащими о получении подарка в связи с их должностным положением или должностных обязанностей, за отчетный период случаев получения муниципальными служащими подарков в связи с их должностным положением или должностных обязанностей не выявлено.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о получении подарка в связи с должностным положением или исполнением должностных обязанностей, от лиц, замещающих муниципальные должности, муниципальные служащие администраций сельских поселений Ленинградского района, не поступало.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муниципальными служащими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</w:t>
      </w:r>
      <w:r>
        <w:rPr>
          <w:rFonts w:ascii="Times New Roman" w:hAnsi="Times New Roman" w:cs="Times New Roman"/>
          <w:sz w:val="28"/>
          <w:szCs w:val="28"/>
        </w:rPr>
        <w:t xml:space="preserve">интересов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сведений, содержащихся в личных делах муниципальных служащих, специализированных базах данных, "открытых источниках",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проводился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Мониторинг соблюдения порядка участия лиц, замещающих должности муниципальной службы, в управлении коммерческими и некоммерческими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проводился</w:t>
      </w:r>
      <w:r>
        <w:rPr>
          <w:rFonts w:ascii="Times New Roman" w:hAnsi="Times New Roman" w:cs="Times New Roman"/>
          <w:sz w:val="28"/>
          <w:szCs w:val="28"/>
        </w:rPr>
        <w:t xml:space="preserve">, нарушений не выявлено.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на аппаратных совещаниях,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ьным служащим администрации муниципального образования Ленинградский район доводилась информация о требованиях законодательства Российской Федерации о противодействии коррупции и об ответственности за совершение коррупционных правонарушений и преступлений.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района (сельских поселениях) проводятся аппаратные совещания, разъяснительная р</w:t>
      </w:r>
      <w:r>
        <w:rPr>
          <w:rFonts w:ascii="Times New Roman" w:hAnsi="Times New Roman" w:cs="Times New Roman"/>
          <w:sz w:val="28"/>
          <w:szCs w:val="28"/>
        </w:rPr>
        <w:t xml:space="preserve">абота с муниципальными служащими о фактах обращений в целях склонения их к совершению коррупционных правонарушений,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планерных совещаниях с муниципальными служащими администрации юридическим отделом проводится обзор законодательства о противодействии коррупции и его изменениях.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</w:t>
      </w:r>
      <w:r>
        <w:rPr>
          <w:rFonts w:ascii="Times New Roman" w:hAnsi="Times New Roman" w:cs="Times New Roman"/>
          <w:sz w:val="28"/>
          <w:szCs w:val="28"/>
        </w:rPr>
        <w:t xml:space="preserve">лях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лица поступающие на муниципальную службу ознакомляются под роспись с ограничениями и </w:t>
      </w:r>
      <w:r>
        <w:rPr>
          <w:rFonts w:ascii="Times New Roman" w:hAnsi="Times New Roman" w:cs="Times New Roman"/>
          <w:sz w:val="28"/>
          <w:szCs w:val="28"/>
        </w:rPr>
        <w:t xml:space="preserve">запретами установленными законодательством РФ, Краснодарского края о муниципальной службе, расписка приобщается к личному делу муниципального служащего.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официальных сайтах муниципальных образований размещается информация о пр</w:t>
      </w:r>
      <w:r>
        <w:rPr>
          <w:rFonts w:ascii="Times New Roman" w:hAnsi="Times New Roman" w:cs="Times New Roman"/>
          <w:sz w:val="28"/>
          <w:szCs w:val="28"/>
        </w:rPr>
        <w:t xml:space="preserve">отиводействии коррупции (памятки для муниципальных служащих по вопросам противодействия коррупции; методические рекомендации по разработке и принятию организациями мер по предупреждению и противодействию коррупции; обзор рекомендаций по осуществлению компл</w:t>
      </w:r>
      <w:r>
        <w:rPr>
          <w:rFonts w:ascii="Times New Roman" w:hAnsi="Times New Roman" w:cs="Times New Roman"/>
          <w:sz w:val="28"/>
          <w:szCs w:val="28"/>
        </w:rPr>
        <w:t xml:space="preserve">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др</w:t>
      </w:r>
      <w:r>
        <w:rPr>
          <w:rFonts w:ascii="Times New Roman" w:hAnsi="Times New Roman" w:cs="Times New Roman"/>
          <w:sz w:val="28"/>
          <w:szCs w:val="28"/>
        </w:rPr>
        <w:t xml:space="preserve">угое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методической работы: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гитационно-массовы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(плакат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памятки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размещены во всех помещениях, занимаемых органами местного самоуправления муниципального образования Ленинградский район и муниципальными учреждениями.</w:t>
      </w:r>
      <w:r>
        <w:rPr>
          <w:sz w:val="28"/>
          <w:szCs w:val="28"/>
        </w:rPr>
      </w:r>
      <w:r/>
    </w:p>
    <w:p>
      <w:pPr>
        <w:pStyle w:val="865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администрации муниципального образования Ленинградский район размещены: информация о коррупции, памятки о мерах ответственности за дачу и получение взятки и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 Данные памятки также размещены в местах предоставления муниципальных услуг.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Соответствующая информация также размещена на официальных сайтах администраций сельских поселений Ленинградского района.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Ленинградский район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61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муниципальных нормативных правовых актов проведена антикоррупционная экспертиза.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61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заключения.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не имеется.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Сельскими поселениями 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138</w:t>
      </w:r>
      <w:r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 проведена антикоррупционная экспертиза, в том числе получено </w:t>
      </w:r>
      <w:r>
        <w:rPr>
          <w:rFonts w:ascii="Times New Roman" w:hAnsi="Times New Roman" w:cs="Times New Roman"/>
          <w:sz w:val="28"/>
          <w:szCs w:val="28"/>
        </w:rPr>
        <w:t xml:space="preserve">138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заключений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>
        <w:rPr>
          <w:rFonts w:ascii="Times New Roman" w:hAnsi="Times New Roman" w:cs="Times New Roman"/>
          <w:sz w:val="28"/>
          <w:szCs w:val="28"/>
        </w:rPr>
        <w:t xml:space="preserve"> заключений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 в отчетном периоде не было.</w:t>
      </w:r>
      <w:r>
        <w:rPr>
          <w:sz w:val="28"/>
          <w:szCs w:val="28"/>
        </w:rPr>
      </w:r>
      <w:r/>
    </w:p>
    <w:p>
      <w:pPr>
        <w:pStyle w:val="866"/>
        <w:ind w:firstLine="36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Ленинградский район от 15.12.2021 года №13</w:t>
      </w: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мониторинга правоприменения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866"/>
        <w:ind w:firstLine="363"/>
        <w:jc w:val="both"/>
        <w:rPr>
          <w:rFonts w:ascii="Times New Roman" w:hAnsi="Times New Roman" w:cs="Times New Roman"/>
          <w:color w:val="4472c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Вышеуказанное постановление размещено на официальном сайте 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6"/>
        <w:ind w:firstLine="64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устранения нарушений, выявленных при мониторинге правоприменения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 поселениях в рамках мониторинга правоприменения внесены изменения в 24 правовых акта, 2 признаны утратившими силу.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Ленинградский район размеща</w:t>
      </w:r>
      <w:r>
        <w:rPr>
          <w:rFonts w:ascii="Times New Roman" w:hAnsi="Times New Roman" w:cs="Times New Roman"/>
          <w:sz w:val="28"/>
          <w:szCs w:val="28"/>
        </w:rPr>
        <w:t xml:space="preserve">ется информация о результатах сделок по приватизации муниципального имущества на Единой электронной торговой площадке (АО «ЕЭТП»), по адресу в сети «Интернет» с характеристикой объектов муниципального имущества. Перечень имущества, подлежащего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муниципального имущества в аренду проводится в соответствии с Федеральным законом от 26 июля 2006 г. № 135-ФЗ «О защите конкуренции».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Нормативно-правовые акты в отношении распоряжения муниципальным имуществом, направляются для проведения антикоррупционной экспертизы в прокуратуру Ленинградского района.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8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локальны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по вопросам профилактики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разработаны в 5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муниципальных учреждениях. Отсутствуют локальные акты в малочисленных учреждениях и вновь созданных.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поступил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человек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учреждений, предста</w:t>
      </w:r>
      <w:r>
        <w:rPr>
          <w:rFonts w:ascii="Times New Roman" w:hAnsi="Times New Roman" w:cs="Times New Roman"/>
          <w:sz w:val="28"/>
          <w:szCs w:val="28"/>
        </w:rPr>
        <w:t xml:space="preserve">вили</w:t>
      </w:r>
      <w:r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 xml:space="preserve">ственного характера;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shd w:val="clear" w:color="auto" w:fill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было проанализировано 85 с</w:t>
      </w:r>
      <w:r>
        <w:rPr>
          <w:rFonts w:ascii="Times New Roman" w:hAnsi="Times New Roman" w:cs="Times New Roman"/>
          <w:sz w:val="28"/>
          <w:szCs w:val="28"/>
        </w:rPr>
        <w:t xml:space="preserve">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 также сайтах муниципальных учреждений.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</w:t>
      </w:r>
      <w:r>
        <w:rPr>
          <w:rFonts w:ascii="Times New Roman" w:hAnsi="Times New Roman" w:cs="Times New Roman"/>
          <w:sz w:val="28"/>
          <w:szCs w:val="28"/>
        </w:rPr>
        <w:t xml:space="preserve">посредством: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в приемную главы муниципального образования Ленинградский район;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направления писем (в т.ч. электронных);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 по телефону «горячей линии» с главой (каждый первый четверг месяца с 1700 до 1800),</w:t>
      </w:r>
      <w:r>
        <w:rPr>
          <w:sz w:val="28"/>
          <w:szCs w:val="28"/>
        </w:rPr>
      </w:r>
      <w:r/>
    </w:p>
    <w:p>
      <w:pPr>
        <w:ind w:firstLine="505"/>
        <w:jc w:val="both"/>
        <w:spacing w:after="0" w:line="240" w:lineRule="auto"/>
        <w:tabs>
          <w:tab w:val="left" w:pos="226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(жалоб) граждан на коррупционное поведение со стороны должностных лиц администрации 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Ленинградский район размещены: информация о коррупции, памятки о мерах ответственности за дачу и получение взятки и д</w:t>
      </w:r>
      <w:r>
        <w:rPr>
          <w:rFonts w:ascii="Times New Roman" w:hAnsi="Times New Roman" w:cs="Times New Roman"/>
          <w:sz w:val="28"/>
          <w:szCs w:val="28"/>
        </w:rPr>
        <w:t xml:space="preserve">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 Данные памятки также размещены в местах предоставления муниципальных услуг.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Соответствующая информация также размещена на официальных сайтах администраций сельских поселений Ленинградского района.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</w:t>
      </w:r>
      <w:r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муниципального образования Ленинградский район: планы, программные мероприятия социально - экономического и инфраструктурного развития территории муниципального образования проходят процедуру обнародования, публикуются в СМИ,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муниципального образования Ленинградский район, обсуждаются во время проведения публичных мероприятий - совещаниях, сходах граждан, в ходе встреч главы муниципального образования, глав сельских поселений с жителями района,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общественных объединений и организаций.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ежеквартально проводятся заседания Совета по противодействию коррупции в сферах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органов местного самоуправления муниципального образования Ленинградский район (далее - Совет), в состав которого входят главы сельских поселений, представители районной СМИ, общественной организации и начальником ОМВД России по Ленинградскому району. </w:t>
      </w:r>
      <w:r>
        <w:rPr>
          <w:sz w:val="28"/>
          <w:szCs w:val="28"/>
        </w:rPr>
      </w:r>
      <w:r/>
    </w:p>
    <w:p>
      <w:pPr>
        <w:pStyle w:val="866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заседаний Совета опубликованы на официальном сайте администрации муниципального образования Ленинградский район (adminlenkub.ru) в разделе «Антикоррупция», подраздел «Совет по противодействию коррупции».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5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муниципального образования осуществляет свою деятельность Общественная палата муниципального образования Ленинградский район, в состав которой входит 15 человек. За отчетный период проведено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заседания Общественной палаты, на которых обсуждались соответствующие вопросы по профилактике коррупционных и иных правонарушений. </w:t>
      </w:r>
      <w:r/>
    </w:p>
    <w:p>
      <w:pPr>
        <w:pStyle w:val="845"/>
        <w:ind w:firstLine="567"/>
        <w:jc w:val="both"/>
        <w:spacing w:before="0" w:beforeAutospacing="0" w:after="0" w:afterAutospacing="0"/>
        <w:widowControl w:val="o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Ежеквартально главы сельских поселений в своих коллективах</w:t>
      </w:r>
      <w:r>
        <w:rPr>
          <w:b w:val="0"/>
          <w:sz w:val="28"/>
          <w:szCs w:val="28"/>
        </w:rPr>
        <w:t xml:space="preserve"> проводят совещания по вопросу «О противодействии коррупции»: - тема: «Правовые основы противодействия коррупции в Российской Федерации. Меры по профилактике коррупции» - тема: «Ответственность физических и юридических лиц за коррупционные правонарушения».</w:t>
      </w:r>
      <w:r/>
    </w:p>
    <w:p>
      <w:pPr>
        <w:pStyle w:val="845"/>
        <w:jc w:val="both"/>
        <w:spacing w:before="0" w:beforeAutospacing="0" w:after="0" w:afterAutospacing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24" w:firstLine="835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2"/>
        <w:ind w:right="-5" w:firstLine="851"/>
        <w:jc w:val="both"/>
        <w:spacing w:before="0" w:beforeAutospacing="0" w:after="0" w:afterAutospacing="0"/>
        <w:widowControl w:val="off"/>
      </w:pPr>
      <w:r/>
      <w:r/>
    </w:p>
    <w:p>
      <w:pPr>
        <w:pStyle w:val="852"/>
        <w:ind w:right="-5" w:firstLine="900"/>
        <w:jc w:val="both"/>
        <w:spacing w:before="0" w:beforeAutospacing="0" w:after="0" w:afterAutospacing="0"/>
        <w:widowControl w:val="off"/>
        <w:tabs>
          <w:tab w:val="left" w:pos="6195" w:leader="none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Решили: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pStyle w:val="852"/>
        <w:ind w:right="-5" w:firstLine="90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Информацию докладчиков принять к сведению.</w:t>
      </w:r>
      <w:r>
        <w:rPr>
          <w:sz w:val="28"/>
          <w:szCs w:val="28"/>
        </w:rPr>
        <w:t xml:space="preserve"> 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по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сферах деятельности органов 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Ю.Ю.Шулико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       Д.Л.Головатский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6" w:bottom="1135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89063410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egacy w:legacy="1" w:legacyIndent="30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6"/>
    <w:link w:val="844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6"/>
    <w:link w:val="845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3"/>
    <w:next w:val="843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6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6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6"/>
    <w:link w:val="859"/>
    <w:uiPriority w:val="99"/>
  </w:style>
  <w:style w:type="character" w:styleId="698">
    <w:name w:val="Footer Char"/>
    <w:basedOn w:val="846"/>
    <w:link w:val="861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61"/>
    <w:uiPriority w:val="99"/>
  </w:style>
  <w:style w:type="table" w:styleId="70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6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6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paragraph" w:styleId="844">
    <w:name w:val="Heading 1"/>
    <w:basedOn w:val="843"/>
    <w:next w:val="843"/>
    <w:link w:val="857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45">
    <w:name w:val="Heading 2"/>
    <w:basedOn w:val="843"/>
    <w:link w:val="851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>
    <w:name w:val="Table Grid"/>
    <w:basedOn w:val="84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0">
    <w:name w:val="List Paragraph"/>
    <w:basedOn w:val="843"/>
    <w:uiPriority w:val="34"/>
    <w:qFormat/>
    <w:pPr>
      <w:contextualSpacing/>
      <w:ind w:left="720"/>
    </w:pPr>
  </w:style>
  <w:style w:type="character" w:styleId="851" w:customStyle="1">
    <w:name w:val="Заголовок 2 Знак"/>
    <w:basedOn w:val="846"/>
    <w:link w:val="84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52">
    <w:name w:val="Normal (Web)"/>
    <w:basedOn w:val="8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Balloon Text"/>
    <w:basedOn w:val="843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6"/>
    <w:link w:val="853"/>
    <w:uiPriority w:val="99"/>
    <w:semiHidden/>
    <w:rPr>
      <w:rFonts w:ascii="Tahoma" w:hAnsi="Tahoma" w:cs="Tahoma"/>
      <w:sz w:val="16"/>
      <w:szCs w:val="16"/>
    </w:rPr>
  </w:style>
  <w:style w:type="character" w:styleId="855">
    <w:name w:val="Hyperlink"/>
    <w:basedOn w:val="846"/>
    <w:rPr>
      <w:color w:val="0000ff"/>
      <w:u w:val="single"/>
    </w:rPr>
  </w:style>
  <w:style w:type="paragraph" w:styleId="856" w:customStyle="1">
    <w:name w:val="Знак Знак Знак Знак Знак Знак Знак Знак Знак Знак"/>
    <w:basedOn w:val="843"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857" w:customStyle="1">
    <w:name w:val="Заголовок 1 Знак"/>
    <w:basedOn w:val="846"/>
    <w:link w:val="84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8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59">
    <w:name w:val="Header"/>
    <w:basedOn w:val="843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46"/>
    <w:link w:val="859"/>
    <w:uiPriority w:val="99"/>
  </w:style>
  <w:style w:type="paragraph" w:styleId="861">
    <w:name w:val="Footer"/>
    <w:basedOn w:val="843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46"/>
    <w:link w:val="861"/>
    <w:uiPriority w:val="99"/>
  </w:style>
  <w:style w:type="character" w:styleId="863" w:customStyle="1">
    <w:name w:val="Гипертекстовая ссылка"/>
    <w:basedOn w:val="846"/>
    <w:uiPriority w:val="99"/>
    <w:rPr>
      <w:b/>
      <w:bCs/>
      <w:color w:val="106bbe"/>
    </w:rPr>
  </w:style>
  <w:style w:type="paragraph" w:styleId="864" w:customStyle="1">
    <w:name w:val="Нормальный (таблица)"/>
    <w:basedOn w:val="843"/>
    <w:next w:val="843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65" w:customStyle="1">
    <w:name w:val="Прижатый влево"/>
    <w:basedOn w:val="843"/>
    <w:next w:val="843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6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adminlenkub.ru/region/stopkor/analiz.php" TargetMode="External"/><Relationship Id="rId11" Type="http://schemas.openxmlformats.org/officeDocument/2006/relationships/hyperlink" Target="http://adminlenkub.ru/region/stopkor/analiz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39</cp:revision>
  <dcterms:created xsi:type="dcterms:W3CDTF">2021-03-26T13:58:00Z</dcterms:created>
  <dcterms:modified xsi:type="dcterms:W3CDTF">2023-08-30T08:16:11Z</dcterms:modified>
</cp:coreProperties>
</file>