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eastAsia="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eastAsia="FreeSerif" w:cs="FreeSerif"/>
          <w:sz w:val="28"/>
          <w:szCs w:val="28"/>
          <w:highlight w:val="none"/>
        </w:rPr>
        <w:t xml:space="preserve">Краснодарского края</w:t>
      </w:r>
      <w:r>
        <w:rPr>
          <w:rFonts w:ascii="FreeSerif" w:hAnsi="FreeSerif" w:cs="FreeSerif"/>
          <w:sz w:val="28"/>
          <w:szCs w:val="28"/>
        </w:rPr>
      </w:r>
      <w:r>
        <w:rPr>
          <w:rFonts w:ascii="FreeSerif" w:hAnsi="FreeSerif" w:cs="FreeSerif"/>
          <w:sz w:val="28"/>
          <w:szCs w:val="28"/>
        </w:rPr>
      </w:r>
    </w:p>
    <w:p>
      <w:pPr>
        <w:pStyle w:val="836"/>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rPr>
        <w:t xml:space="preserve">от 25.03.2026 г. № 28</w:t>
      </w:r>
      <w:r>
        <w:rPr>
          <w:rFonts w:ascii="FreeSerif" w:hAnsi="FreeSerif" w:cs="FreeSerif"/>
          <w:sz w:val="28"/>
          <w:szCs w:val="28"/>
          <w:highlight w:val="none"/>
        </w:rPr>
      </w:r>
      <w:r>
        <w:rPr>
          <w:rFonts w:ascii="FreeSerif" w:hAnsi="FreeSerif" w:cs="FreeSerif"/>
          <w:sz w:val="28"/>
          <w:szCs w:val="28"/>
          <w:highlight w:val="none"/>
        </w:rPr>
      </w:r>
    </w:p>
    <w:p>
      <w:pPr>
        <w:pStyle w:val="836"/>
        <w:contextualSpacing/>
        <w:jc w:val="right"/>
        <w:rPr>
          <w:sz w:val="28"/>
          <w:szCs w:val="28"/>
        </w:rPr>
      </w:pPr>
      <w:r>
        <w:rPr>
          <w:sz w:val="28"/>
          <w:szCs w:val="28"/>
        </w:rPr>
      </w:r>
      <w:r>
        <w:rPr>
          <w:sz w:val="28"/>
          <w:szCs w:val="28"/>
        </w:rPr>
      </w:r>
    </w:p>
    <w:p>
      <w:pPr>
        <w:pStyle w:val="836"/>
        <w:contextualSpacing/>
        <w:jc w:val="right"/>
        <w:rPr>
          <w:sz w:val="28"/>
          <w:szCs w:val="28"/>
        </w:rPr>
      </w:pPr>
      <w:r>
        <w:rPr>
          <w:sz w:val="28"/>
          <w:szCs w:val="28"/>
        </w:rPr>
      </w:r>
      <w:r>
        <w:rPr>
          <w:sz w:val="28"/>
          <w:szCs w:val="28"/>
        </w:rPr>
      </w:r>
    </w:p>
    <w:p>
      <w:pPr>
        <w:pStyle w:val="840"/>
        <w:jc w:val="center"/>
        <w:spacing w:before="0" w:beforeAutospacing="0" w:after="0" w:afterAutospacing="0"/>
        <w:rPr>
          <w:rFonts w:ascii="FreeSerif" w:hAnsi="FreeSerif" w:eastAsia="FreeSerif" w:cs="FreeSerif"/>
          <w:b/>
          <w:bCs/>
          <w:sz w:val="28"/>
          <w:szCs w:val="28"/>
        </w:rPr>
      </w:pPr>
      <w:r>
        <w:rPr>
          <w:rFonts w:ascii="FreeSerif" w:hAnsi="FreeSerif" w:eastAsia="FreeSerif" w:cs="FreeSerif"/>
          <w:b/>
          <w:bCs/>
          <w:sz w:val="28"/>
          <w:szCs w:val="28"/>
        </w:rPr>
        <w:t xml:space="preserve">Перечень муниципального имущества, подлежащего </w:t>
      </w:r>
      <w:r>
        <w:rPr>
          <w:rFonts w:ascii="FreeSerif" w:hAnsi="FreeSerif" w:eastAsia="FreeSerif" w:cs="FreeSerif"/>
          <w:b/>
          <w:bCs/>
          <w:sz w:val="28"/>
          <w:szCs w:val="28"/>
        </w:rPr>
      </w:r>
      <w:r>
        <w:rPr>
          <w:rFonts w:ascii="FreeSerif" w:hAnsi="FreeSerif" w:eastAsia="FreeSerif" w:cs="FreeSerif"/>
          <w:b/>
          <w:bCs/>
          <w:sz w:val="28"/>
          <w:szCs w:val="28"/>
        </w:rPr>
      </w:r>
    </w:p>
    <w:p>
      <w:pPr>
        <w:pStyle w:val="840"/>
        <w:jc w:val="center"/>
        <w:spacing w:before="0" w:beforeAutospacing="0" w:after="0" w:afterAutospacing="0"/>
        <w:rPr>
          <w:rFonts w:ascii="FreeSerif" w:hAnsi="FreeSerif" w:cs="FreeSerif"/>
          <w:b/>
          <w:bCs/>
          <w:sz w:val="28"/>
          <w:szCs w:val="28"/>
        </w:rPr>
      </w:pPr>
      <w:r>
        <w:rPr>
          <w:rFonts w:ascii="FreeSerif" w:hAnsi="FreeSerif" w:eastAsia="FreeSerif" w:cs="FreeSerif"/>
          <w:b/>
          <w:bCs/>
          <w:sz w:val="28"/>
          <w:szCs w:val="28"/>
        </w:rPr>
      </w:r>
      <w:r>
        <w:rPr>
          <w:rFonts w:ascii="FreeSerif" w:hAnsi="FreeSerif" w:eastAsia="FreeSerif" w:cs="FreeSerif"/>
          <w:b/>
          <w:sz w:val="28"/>
          <w:szCs w:val="28"/>
        </w:rPr>
        <w:t xml:space="preserve">демонтажу и сносу</w:t>
      </w:r>
      <w:r>
        <w:rPr>
          <w:rFonts w:ascii="FreeSerif" w:hAnsi="FreeSerif" w:cs="FreeSerif"/>
          <w:b/>
          <w:bCs/>
          <w:sz w:val="28"/>
          <w:szCs w:val="28"/>
        </w:rPr>
      </w:r>
      <w:r>
        <w:rPr>
          <w:rFonts w:ascii="FreeSerif" w:hAnsi="FreeSerif" w:cs="FreeSerif"/>
          <w:b/>
          <w:bCs/>
          <w:sz w:val="28"/>
          <w:szCs w:val="28"/>
        </w:rPr>
      </w:r>
    </w:p>
    <w:p>
      <w:pPr>
        <w:pStyle w:val="840"/>
        <w:jc w:val="center"/>
        <w:spacing w:before="0" w:beforeAutospacing="0" w:after="0" w:afterAutospacing="0"/>
        <w:rPr>
          <w:sz w:val="28"/>
          <w:szCs w:val="28"/>
        </w:rPr>
      </w:pPr>
      <w:r>
        <w:rPr>
          <w:sz w:val="28"/>
          <w:szCs w:val="28"/>
        </w:rPr>
      </w:r>
      <w:r>
        <w:rPr>
          <w:sz w:val="28"/>
          <w:szCs w:val="28"/>
        </w:rPr>
      </w:r>
    </w:p>
    <w:p>
      <w:pPr>
        <w:pStyle w:val="840"/>
        <w:jc w:val="center"/>
        <w:spacing w:before="0" w:beforeAutospacing="0" w:after="0" w:afterAutospacing="0"/>
        <w:rPr>
          <w:sz w:val="28"/>
          <w:szCs w:val="28"/>
        </w:rPr>
      </w:pPr>
      <w:r>
        <w:rPr>
          <w:sz w:val="28"/>
          <w:szCs w:val="28"/>
        </w:rPr>
      </w:r>
      <w:r>
        <w:rPr>
          <w:sz w:val="28"/>
          <w:szCs w:val="28"/>
        </w:rPr>
      </w:r>
    </w:p>
    <w:tbl>
      <w:tblPr>
        <w:tblStyle w:val="692"/>
        <w:tblW w:w="0" w:type="auto"/>
        <w:tblInd w:w="-459" w:type="dxa"/>
        <w:tblLayout w:type="fixed"/>
        <w:tblLook w:val="04A0" w:firstRow="1" w:lastRow="0" w:firstColumn="1" w:lastColumn="0" w:noHBand="0" w:noVBand="1"/>
      </w:tblPr>
      <w:tblGrid>
        <w:gridCol w:w="1111"/>
        <w:gridCol w:w="2999"/>
        <w:gridCol w:w="5811"/>
      </w:tblGrid>
      <w:tr>
        <w:tblPrEx/>
        <w:trPr>
          <w:trHeight w:val="281"/>
        </w:trPr>
        <w:tc>
          <w:tcPr>
            <w:tcW w:w="1111" w:type="dxa"/>
            <w:textDirection w:val="lrTb"/>
            <w:noWrap w:val="false"/>
          </w:tcPr>
          <w:p>
            <w:pPr>
              <w:pStyle w:val="677"/>
              <w:rPr>
                <w:rFonts w:ascii="FreeSerif" w:hAnsi="FreeSerif" w:cs="FreeSerif"/>
                <w:sz w:val="28"/>
                <w:szCs w:val="28"/>
              </w:rPr>
            </w:pPr>
            <w:r>
              <w:rPr>
                <w:rFonts w:ascii="FreeSerif" w:hAnsi="FreeSerif" w:eastAsia="FreeSerif" w:cs="FreeSerif"/>
                <w:sz w:val="28"/>
                <w:szCs w:val="28"/>
              </w:rPr>
              <w:t xml:space="preserve">п/п</w:t>
            </w:r>
            <w:r>
              <w:rPr>
                <w:rFonts w:ascii="FreeSerif" w:hAnsi="FreeSerif" w:cs="FreeSerif"/>
                <w:sz w:val="28"/>
                <w:szCs w:val="28"/>
              </w:rPr>
            </w:r>
            <w:r>
              <w:rPr>
                <w:rFonts w:ascii="FreeSerif" w:hAnsi="FreeSerif" w:cs="FreeSerif"/>
                <w:sz w:val="28"/>
                <w:szCs w:val="28"/>
              </w:rPr>
            </w:r>
          </w:p>
        </w:tc>
        <w:tc>
          <w:tcPr>
            <w:tcW w:w="2999" w:type="dxa"/>
            <w:textDirection w:val="lrTb"/>
            <w:noWrap w:val="false"/>
          </w:tcPr>
          <w:p>
            <w:pPr>
              <w:pStyle w:val="677"/>
              <w:rPr>
                <w:rFonts w:ascii="FreeSerif" w:hAnsi="FreeSerif" w:eastAsia="FreeSerif" w:cs="FreeSerif"/>
                <w:sz w:val="28"/>
                <w:szCs w:val="28"/>
                <w:highlight w:val="none"/>
              </w:rPr>
            </w:pPr>
            <w:r>
              <w:rPr>
                <w:rFonts w:ascii="FreeSerif" w:hAnsi="FreeSerif" w:eastAsia="FreeSerif" w:cs="FreeSerif"/>
                <w:sz w:val="28"/>
                <w:szCs w:val="28"/>
              </w:rPr>
              <w:t xml:space="preserve">Наименование объекта</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pStyle w:val="677"/>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tc>
        <w:tc>
          <w:tcPr>
            <w:tcW w:w="5811" w:type="dxa"/>
            <w:textDirection w:val="lrTb"/>
            <w:noWrap w:val="false"/>
          </w:tcPr>
          <w:p>
            <w:pPr>
              <w:pStyle w:val="677"/>
              <w:rPr>
                <w:rFonts w:ascii="FreeSerif" w:hAnsi="FreeSerif" w:eastAsia="FreeSerif" w:cs="FreeSerif"/>
                <w:sz w:val="28"/>
                <w:szCs w:val="28"/>
                <w:highlight w:val="none"/>
              </w:rPr>
            </w:pPr>
            <w:r>
              <w:rPr>
                <w:rFonts w:ascii="FreeSerif" w:hAnsi="FreeSerif" w:eastAsia="FreeSerif" w:cs="FreeSerif"/>
                <w:sz w:val="28"/>
                <w:szCs w:val="28"/>
              </w:rPr>
              <w:t xml:space="preserve">Индивидуализирующие характеристики </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pStyle w:val="677"/>
              <w:rPr>
                <w:rFonts w:ascii="FreeSerif" w:hAnsi="FreeSerif" w:cs="FreeSerif"/>
                <w:sz w:val="28"/>
                <w:szCs w:val="28"/>
              </w:rPr>
            </w:pPr>
            <w:r>
              <w:rPr>
                <w:rFonts w:ascii="FreeSerif" w:hAnsi="FreeSerif" w:cs="FreeSerif"/>
                <w:sz w:val="28"/>
                <w:szCs w:val="28"/>
              </w:rPr>
            </w:r>
            <w:r>
              <w:rPr>
                <w:rFonts w:ascii="FreeSerif" w:hAnsi="FreeSerif" w:cs="FreeSerif"/>
                <w:sz w:val="28"/>
                <w:szCs w:val="28"/>
              </w:rPr>
            </w:r>
            <w:r>
              <w:rPr>
                <w:rFonts w:ascii="FreeSerif" w:hAnsi="FreeSerif" w:cs="FreeSerif"/>
                <w:sz w:val="28"/>
                <w:szCs w:val="28"/>
              </w:rPr>
            </w:r>
          </w:p>
          <w:p>
            <w:pPr>
              <w:pStyle w:val="677"/>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tc>
      </w:tr>
      <w:tr>
        <w:tblPrEx/>
        <w:trPr>
          <w:trHeight w:val="845"/>
        </w:trPr>
        <w:tc>
          <w:tcPr>
            <w:tcW w:w="1111" w:type="dxa"/>
            <w:textDirection w:val="lrTb"/>
            <w:noWrap w:val="false"/>
          </w:tcPr>
          <w:p>
            <w:pPr>
              <w:pStyle w:val="677"/>
              <w:rPr>
                <w:rFonts w:ascii="FreeSerif" w:hAnsi="FreeSerif" w:cs="FreeSerif"/>
                <w:sz w:val="28"/>
                <w:szCs w:val="28"/>
              </w:rPr>
            </w:pPr>
            <w:r>
              <w:rPr>
                <w:rFonts w:ascii="FreeSerif" w:hAnsi="FreeSerif" w:eastAsia="FreeSerif" w:cs="FreeSerif"/>
                <w:sz w:val="28"/>
                <w:szCs w:val="28"/>
              </w:rPr>
              <w:t xml:space="preserve">1</w:t>
            </w:r>
            <w:r>
              <w:rPr>
                <w:rFonts w:ascii="FreeSerif" w:hAnsi="FreeSerif" w:cs="FreeSerif"/>
                <w:sz w:val="28"/>
                <w:szCs w:val="28"/>
              </w:rPr>
            </w:r>
            <w:r>
              <w:rPr>
                <w:rFonts w:ascii="FreeSerif" w:hAnsi="FreeSerif" w:cs="FreeSerif"/>
                <w:sz w:val="28"/>
                <w:szCs w:val="28"/>
              </w:rPr>
            </w:r>
          </w:p>
        </w:tc>
        <w:tc>
          <w:tcPr>
            <w:tcW w:w="2999" w:type="dxa"/>
            <w:textDirection w:val="lrTb"/>
            <w:noWrap w:val="false"/>
          </w:tcPr>
          <w:p>
            <w:pPr>
              <w:pStyle w:val="677"/>
              <w:rPr>
                <w:rFonts w:ascii="FreeSerif" w:hAnsi="FreeSerif" w:cs="FreeSerif"/>
                <w:sz w:val="28"/>
                <w:szCs w:val="28"/>
              </w:rPr>
            </w:pPr>
            <w:r>
              <w:rPr>
                <w:rFonts w:ascii="FreeSerif" w:hAnsi="FreeSerif" w:eastAsia="FreeSerif" w:cs="FreeSerif"/>
                <w:sz w:val="28"/>
                <w:szCs w:val="28"/>
              </w:rPr>
              <w:t xml:space="preserve">Нежилое здание </w:t>
            </w:r>
            <w:r>
              <w:rPr>
                <w:rFonts w:ascii="FreeSerif" w:hAnsi="FreeSerif" w:cs="FreeSerif"/>
                <w:sz w:val="28"/>
                <w:szCs w:val="28"/>
              </w:rPr>
            </w:r>
            <w:r>
              <w:rPr>
                <w:rFonts w:ascii="FreeSerif" w:hAnsi="FreeSerif" w:cs="FreeSerif"/>
                <w:sz w:val="28"/>
                <w:szCs w:val="28"/>
              </w:rPr>
            </w:r>
          </w:p>
        </w:tc>
        <w:tc>
          <w:tcPr>
            <w:tcW w:w="5811" w:type="dxa"/>
            <w:textDirection w:val="lrTb"/>
            <w:noWrap w:val="false"/>
          </w:tcPr>
          <w:p>
            <w:pPr>
              <w:pStyle w:val="677"/>
              <w:rPr>
                <w:rFonts w:ascii="FreeSerif" w:hAnsi="FreeSerif" w:eastAsia="FreeSerif" w:cs="FreeSerif"/>
                <w:sz w:val="28"/>
                <w:szCs w:val="28"/>
              </w:rPr>
            </w:pPr>
            <w:r>
              <w:rPr>
                <w:rFonts w:ascii="FreeSerif" w:hAnsi="FreeSerif" w:eastAsia="FreeSerif" w:cs="FreeSerif"/>
                <w:sz w:val="28"/>
                <w:szCs w:val="28"/>
              </w:rPr>
              <w:t xml:space="preserve">Адрес: Российская Федерация, Краснодарский край, м.о. Ленинградский, ст-ца Новоплатнировская, ул. Почтовая, д. 6А</w:t>
            </w:r>
            <w:r>
              <w:rPr>
                <w:rFonts w:ascii="FreeSerif" w:hAnsi="FreeSerif" w:eastAsia="FreeSerif" w:cs="FreeSerif"/>
                <w:sz w:val="28"/>
                <w:szCs w:val="28"/>
              </w:rPr>
              <w:t xml:space="preserve">.; </w:t>
            </w:r>
            <w:r>
              <w:rPr>
                <w:rFonts w:ascii="FreeSerif" w:hAnsi="FreeSerif" w:eastAsia="FreeSerif" w:cs="FreeSerif"/>
                <w:sz w:val="28"/>
                <w:szCs w:val="28"/>
              </w:rPr>
            </w:r>
            <w:r>
              <w:rPr>
                <w:rFonts w:ascii="FreeSerif" w:hAnsi="FreeSerif" w:eastAsia="FreeSerif" w:cs="FreeSerif"/>
                <w:sz w:val="28"/>
                <w:szCs w:val="28"/>
              </w:rPr>
            </w:r>
          </w:p>
          <w:p>
            <w:pPr>
              <w:pStyle w:val="677"/>
              <w:rPr>
                <w:rFonts w:ascii="FreeSerif" w:hAnsi="FreeSerif" w:eastAsia="FreeSerif" w:cs="FreeSerif"/>
                <w:sz w:val="28"/>
                <w:szCs w:val="28"/>
              </w:rPr>
            </w:pPr>
            <w:r>
              <w:rPr>
                <w:rFonts w:ascii="FreeSerif" w:hAnsi="FreeSerif" w:eastAsia="FreeSerif" w:cs="FreeSerif"/>
                <w:sz w:val="28"/>
                <w:szCs w:val="28"/>
              </w:rPr>
              <w:t xml:space="preserve">назначение – </w:t>
            </w:r>
            <w:bookmarkStart w:id="0" w:name="_GoBack"/>
            <w:r>
              <w:rPr>
                <w:sz w:val="28"/>
                <w:szCs w:val="28"/>
              </w:rPr>
            </w:r>
            <w:bookmarkEnd w:id="0"/>
            <w:r>
              <w:rPr>
                <w:rFonts w:ascii="FreeSerif" w:hAnsi="FreeSerif" w:eastAsia="FreeSerif" w:cs="FreeSerif"/>
                <w:sz w:val="28"/>
                <w:szCs w:val="28"/>
              </w:rPr>
              <w:t xml:space="preserve">нежилое;</w:t>
            </w:r>
            <w:r>
              <w:rPr>
                <w:rFonts w:ascii="FreeSerif" w:hAnsi="FreeSerif" w:eastAsia="FreeSerif" w:cs="FreeSerif"/>
                <w:sz w:val="28"/>
                <w:szCs w:val="28"/>
              </w:rPr>
            </w:r>
            <w:r>
              <w:rPr>
                <w:rFonts w:ascii="FreeSerif" w:hAnsi="FreeSerif" w:eastAsia="FreeSerif" w:cs="FreeSerif"/>
                <w:sz w:val="28"/>
                <w:szCs w:val="28"/>
              </w:rPr>
            </w:r>
          </w:p>
          <w:p>
            <w:pPr>
              <w:pStyle w:val="677"/>
              <w:rPr>
                <w:rFonts w:ascii="FreeSerif" w:hAnsi="FreeSerif" w:eastAsia="FreeSerif" w:cs="FreeSerif"/>
                <w:sz w:val="28"/>
                <w:szCs w:val="28"/>
              </w:rPr>
            </w:pPr>
            <w:r>
              <w:rPr>
                <w:rFonts w:ascii="FreeSerif" w:hAnsi="FreeSerif" w:eastAsia="FreeSerif" w:cs="FreeSerif"/>
                <w:sz w:val="28"/>
                <w:szCs w:val="28"/>
              </w:rPr>
              <w:t xml:space="preserve">кадастровый номер 23:19:0702055:53; </w:t>
            </w:r>
            <w:r>
              <w:rPr>
                <w:rFonts w:ascii="FreeSerif" w:hAnsi="FreeSerif" w:eastAsia="FreeSerif" w:cs="FreeSerif"/>
                <w:sz w:val="28"/>
                <w:szCs w:val="28"/>
              </w:rPr>
            </w:r>
            <w:r>
              <w:rPr>
                <w:rFonts w:ascii="FreeSerif" w:hAnsi="FreeSerif" w:eastAsia="FreeSerif" w:cs="FreeSerif"/>
                <w:sz w:val="28"/>
                <w:szCs w:val="28"/>
              </w:rPr>
            </w:r>
          </w:p>
          <w:p>
            <w:pPr>
              <w:pStyle w:val="677"/>
              <w:rPr>
                <w:rFonts w:ascii="FreeSerif" w:hAnsi="FreeSerif" w:eastAsia="FreeSerif" w:cs="FreeSerif"/>
                <w:sz w:val="28"/>
                <w:szCs w:val="28"/>
                <w:highlight w:val="none"/>
              </w:rPr>
            </w:pPr>
            <w:r>
              <w:rPr>
                <w:rFonts w:ascii="FreeSerif" w:hAnsi="FreeSerif" w:eastAsia="FreeSerif" w:cs="FreeSerif"/>
                <w:sz w:val="28"/>
                <w:szCs w:val="28"/>
              </w:rPr>
              <w:t xml:space="preserve">собственность 23-23/038-23/038/011/2016-181/1 от 07.06.2016 г.;</w:t>
            </w:r>
            <w:r>
              <w:rPr>
                <w:rFonts w:ascii="FreeSerif" w:hAnsi="FreeSerif" w:eastAsia="FreeSerif" w:cs="FreeSerif"/>
                <w:sz w:val="28"/>
                <w:szCs w:val="28"/>
                <w:highlight w:val="none"/>
              </w:rPr>
            </w:r>
            <w:r>
              <w:rPr>
                <w:rFonts w:ascii="FreeSerif" w:hAnsi="FreeSerif" w:eastAsia="FreeSerif" w:cs="FreeSerif"/>
                <w:sz w:val="28"/>
                <w:szCs w:val="28"/>
                <w:highlight w:val="none"/>
              </w:rPr>
            </w:r>
          </w:p>
          <w:p>
            <w:pPr>
              <w:pStyle w:val="677"/>
              <w:rPr>
                <w:rFonts w:ascii="FreeSerif" w:hAnsi="FreeSerif" w:cs="FreeSerif"/>
                <w:sz w:val="28"/>
                <w:szCs w:val="28"/>
              </w:rPr>
            </w:pPr>
            <w:r>
              <w:rPr>
                <w:rFonts w:ascii="FreeSerif" w:hAnsi="FreeSerif" w:eastAsia="FreeSerif" w:cs="FreeSerif"/>
                <w:sz w:val="28"/>
                <w:szCs w:val="28"/>
                <w:highlight w:val="none"/>
              </w:rPr>
              <w:t xml:space="preserve">концессия 23:19:0702055:53-23/267/2021-7 от 12.08.2021 г.</w:t>
            </w:r>
            <w:r>
              <w:rPr>
                <w:rFonts w:ascii="FreeSerif" w:hAnsi="FreeSerif" w:cs="FreeSerif"/>
                <w:sz w:val="28"/>
                <w:szCs w:val="28"/>
              </w:rPr>
            </w:r>
            <w:r>
              <w:rPr>
                <w:rFonts w:ascii="FreeSerif" w:hAnsi="FreeSerif" w:cs="FreeSerif"/>
                <w:sz w:val="28"/>
                <w:szCs w:val="28"/>
              </w:rPr>
            </w:r>
          </w:p>
        </w:tc>
      </w:tr>
    </w:tbl>
    <w:p>
      <w:pPr>
        <w:pStyle w:val="840"/>
        <w:jc w:val="left"/>
        <w:spacing w:before="0" w:beforeAutospacing="0" w:after="0" w:afterAutospacing="0"/>
        <w:rPr>
          <w:sz w:val="28"/>
          <w:szCs w:val="28"/>
        </w:rPr>
      </w:pPr>
      <w:r>
        <w:rPr>
          <w:sz w:val="28"/>
          <w:szCs w:val="28"/>
        </w:rPr>
      </w:r>
      <w:r>
        <w:rPr>
          <w:sz w:val="28"/>
          <w:szCs w:val="28"/>
        </w:rPr>
      </w:r>
    </w:p>
    <w:p>
      <w:pPr>
        <w:ind w:left="-283" w:right="0" w:hanging="283"/>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ind w:left="-283" w:right="0" w:hanging="283"/>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ind w:left="-283" w:right="0" w:hanging="283"/>
        <w:rPr>
          <w:rFonts w:ascii="FreeSerif" w:hAnsi="FreeSerif" w:cs="FreeSerif"/>
          <w:sz w:val="28"/>
          <w:szCs w:val="28"/>
          <w:highlight w:val="none"/>
        </w:rPr>
      </w:pPr>
      <w:r>
        <w:rPr>
          <w:rFonts w:ascii="FreeSerif" w:hAnsi="FreeSerif" w:cs="FreeSerif"/>
          <w:sz w:val="28"/>
          <w:szCs w:val="28"/>
        </w:rPr>
        <w:t xml:space="preserve">Заместитель главы</w:t>
      </w:r>
      <w:r>
        <w:rPr>
          <w:rFonts w:ascii="FreeSerif" w:hAnsi="FreeSerif" w:cs="FreeSerif"/>
          <w:sz w:val="28"/>
          <w:szCs w:val="28"/>
          <w:highlight w:val="none"/>
        </w:rPr>
      </w:r>
      <w:r>
        <w:rPr>
          <w:rFonts w:ascii="FreeSerif" w:hAnsi="FreeSerif" w:cs="FreeSerif"/>
          <w:sz w:val="28"/>
          <w:szCs w:val="28"/>
          <w:highlight w:val="none"/>
        </w:rPr>
      </w:r>
    </w:p>
    <w:p>
      <w:pPr>
        <w:ind w:left="-283" w:right="0" w:hanging="283"/>
        <w:rPr>
          <w:rFonts w:ascii="FreeSerif" w:hAnsi="FreeSerif" w:cs="FreeSerif"/>
          <w:sz w:val="28"/>
          <w:szCs w:val="28"/>
          <w:highlight w:val="none"/>
        </w:rPr>
      </w:pPr>
      <w:r>
        <w:rPr>
          <w:rFonts w:ascii="FreeSerif" w:hAnsi="FreeSerif" w:cs="FreeSerif"/>
          <w:sz w:val="28"/>
          <w:szCs w:val="28"/>
          <w:highlight w:val="none"/>
        </w:rPr>
        <w:t xml:space="preserve">Ленинградского муниципального округа,</w:t>
      </w:r>
      <w:r>
        <w:rPr>
          <w:rFonts w:ascii="FreeSerif" w:hAnsi="FreeSerif" w:cs="FreeSerif"/>
          <w:sz w:val="28"/>
          <w:szCs w:val="28"/>
          <w:highlight w:val="none"/>
        </w:rPr>
      </w:r>
      <w:r>
        <w:rPr>
          <w:rFonts w:ascii="FreeSerif" w:hAnsi="FreeSerif" w:cs="FreeSerif"/>
          <w:sz w:val="28"/>
          <w:szCs w:val="28"/>
          <w:highlight w:val="none"/>
        </w:rPr>
      </w:r>
    </w:p>
    <w:p>
      <w:pPr>
        <w:ind w:left="-283" w:right="0" w:hanging="283"/>
        <w:rPr>
          <w:rFonts w:ascii="FreeSerif" w:hAnsi="FreeSerif" w:cs="FreeSerif"/>
          <w:sz w:val="28"/>
          <w:szCs w:val="28"/>
          <w:highlight w:val="none"/>
        </w:rPr>
      </w:pPr>
      <w:r>
        <w:rPr>
          <w:rFonts w:ascii="FreeSerif" w:hAnsi="FreeSerif" w:cs="FreeSerif"/>
          <w:sz w:val="28"/>
          <w:szCs w:val="28"/>
          <w:highlight w:val="none"/>
        </w:rPr>
        <w:t xml:space="preserve">начальник отдела имущественных </w:t>
      </w:r>
      <w:r>
        <w:rPr>
          <w:rFonts w:ascii="FreeSerif" w:hAnsi="FreeSerif" w:cs="FreeSerif"/>
          <w:sz w:val="28"/>
          <w:szCs w:val="28"/>
          <w:highlight w:val="none"/>
        </w:rPr>
      </w:r>
      <w:r>
        <w:rPr>
          <w:rFonts w:ascii="FreeSerif" w:hAnsi="FreeSerif" w:cs="FreeSerif"/>
          <w:sz w:val="28"/>
          <w:szCs w:val="28"/>
          <w:highlight w:val="none"/>
        </w:rPr>
      </w:r>
    </w:p>
    <w:p>
      <w:pPr>
        <w:ind w:left="-283" w:right="0" w:hanging="283"/>
        <w:rPr>
          <w:rFonts w:ascii="FreeSerif" w:hAnsi="FreeSerif" w:cs="FreeSerif"/>
          <w:sz w:val="28"/>
          <w:szCs w:val="28"/>
        </w:rPr>
      </w:pPr>
      <w:r>
        <w:rPr>
          <w:rFonts w:ascii="FreeSerif" w:hAnsi="FreeSerif" w:cs="FreeSerif"/>
          <w:sz w:val="28"/>
          <w:szCs w:val="28"/>
          <w:highlight w:val="none"/>
        </w:rPr>
        <w:t xml:space="preserve">отношений администрации</w:t>
      </w:r>
      <w:r>
        <w:rPr>
          <w:rFonts w:ascii="FreeSerif" w:hAnsi="FreeSerif" w:cs="FreeSerif"/>
          <w:sz w:val="28"/>
          <w:szCs w:val="28"/>
          <w:highlight w:val="none"/>
        </w:rPr>
        <w:t xml:space="preserve">                                                                            Р.Г. Тоцкая</w:t>
      </w:r>
      <w:r>
        <w:rPr>
          <w:rFonts w:ascii="FreeSerif" w:hAnsi="FreeSerif" w:cs="FreeSerif"/>
          <w:sz w:val="28"/>
          <w:szCs w:val="28"/>
        </w:rPr>
      </w:r>
      <w:r>
        <w:rPr>
          <w:rFonts w:ascii="FreeSerif" w:hAnsi="FreeSerif" w:cs="FreeSerif"/>
          <w:sz w:val="28"/>
          <w:szCs w:val="28"/>
        </w:rPr>
      </w:r>
    </w:p>
    <w:p>
      <w:pPr>
        <w:pStyle w:val="836"/>
        <w:ind w:left="0" w:right="1" w:firstLine="0"/>
        <w:jc w:val="left"/>
        <w:rPr>
          <w:sz w:val="28"/>
          <w:szCs w:val="28"/>
        </w:rPr>
      </w:pPr>
      <w:r>
        <w:rPr>
          <w:sz w:val="28"/>
          <w:szCs w:val="28"/>
        </w:rPr>
      </w:r>
      <w:r>
        <w:rPr>
          <w:sz w:val="28"/>
          <w:szCs w:val="28"/>
        </w:rPr>
      </w:r>
      <w:r>
        <w:rPr>
          <w:sz w:val="28"/>
          <w:szCs w:val="28"/>
        </w:rPr>
      </w:r>
    </w:p>
    <w:p>
      <w:pPr>
        <w:pStyle w:val="836"/>
        <w:jc w:val="right"/>
        <w:rPr>
          <w:sz w:val="28"/>
          <w:szCs w:val="28"/>
        </w:rPr>
      </w:pPr>
      <w:r>
        <w:rPr>
          <w:sz w:val="28"/>
          <w:szCs w:val="28"/>
        </w:rPr>
      </w:r>
      <w:r>
        <w:rPr>
          <w:sz w:val="28"/>
          <w:szCs w:val="28"/>
        </w:rPr>
      </w:r>
    </w:p>
    <w:sectPr>
      <w:footnotePr/>
      <w:endnotePr/>
      <w:type w:val="nextPage"/>
      <w:pgSz w:w="11906" w:h="16838" w:orient="portrait"/>
      <w:pgMar w:top="1134" w:right="850" w:bottom="993"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1211" w:hanging="360"/>
      </w:pPr>
      <w:rPr>
        <w:rFonts w:cs="Times New Roman"/>
      </w:rPr>
    </w:lvl>
    <w:lvl w:ilvl="1">
      <w:start w:val="1"/>
      <w:numFmt w:val="decimal"/>
      <w:isLgl w:val="false"/>
      <w:suff w:val="tab"/>
      <w:lvlText w:val="%1.%2."/>
      <w:lvlJc w:val="left"/>
      <w:pPr>
        <w:ind w:left="360" w:hanging="360"/>
      </w:pPr>
      <w:rPr>
        <w:rFonts w:cs="Times New Roman"/>
      </w:rPr>
    </w:lvl>
    <w:lvl w:ilvl="2">
      <w:start w:val="1"/>
      <w:numFmt w:val="decimal"/>
      <w:isLgl w:val="false"/>
      <w:suff w:val="tab"/>
      <w:lvlText w:val="%1.%2.%3."/>
      <w:lvlJc w:val="left"/>
      <w:pPr>
        <w:ind w:left="1800" w:hanging="720"/>
      </w:pPr>
      <w:rPr>
        <w:rFonts w:cs="Times New Roman"/>
      </w:rPr>
    </w:lvl>
    <w:lvl w:ilvl="3">
      <w:start w:val="1"/>
      <w:numFmt w:val="decimal"/>
      <w:isLgl w:val="false"/>
      <w:suff w:val="tab"/>
      <w:lvlText w:val="%1.%2.%3.%4."/>
      <w:lvlJc w:val="left"/>
      <w:pPr>
        <w:ind w:left="2160" w:hanging="720"/>
      </w:pPr>
      <w:rPr>
        <w:rFonts w:cs="Times New Roman"/>
      </w:rPr>
    </w:lvl>
    <w:lvl w:ilvl="4">
      <w:start w:val="1"/>
      <w:numFmt w:val="decimal"/>
      <w:isLgl w:val="false"/>
      <w:suff w:val="tab"/>
      <w:lvlText w:val="%1.%2.%3.%4.%5."/>
      <w:lvlJc w:val="left"/>
      <w:pPr>
        <w:ind w:left="2880" w:hanging="1080"/>
      </w:pPr>
      <w:rPr>
        <w:rFonts w:cs="Times New Roman"/>
      </w:rPr>
    </w:lvl>
    <w:lvl w:ilvl="5">
      <w:start w:val="1"/>
      <w:numFmt w:val="decimal"/>
      <w:isLgl w:val="false"/>
      <w:suff w:val="tab"/>
      <w:lvlText w:val="%1.%2.%3.%4.%5.%6."/>
      <w:lvlJc w:val="left"/>
      <w:pPr>
        <w:ind w:left="3240" w:hanging="1080"/>
      </w:pPr>
      <w:rPr>
        <w:rFonts w:cs="Times New Roman"/>
      </w:rPr>
    </w:lvl>
    <w:lvl w:ilvl="6">
      <w:start w:val="1"/>
      <w:numFmt w:val="decimal"/>
      <w:isLgl w:val="false"/>
      <w:suff w:val="tab"/>
      <w:lvlText w:val="%1.%2.%3.%4.%5.%6.%7."/>
      <w:lvlJc w:val="left"/>
      <w:pPr>
        <w:ind w:left="3960" w:hanging="1440"/>
      </w:pPr>
      <w:rPr>
        <w:rFonts w:cs="Times New Roman"/>
      </w:rPr>
    </w:lvl>
    <w:lvl w:ilvl="7">
      <w:start w:val="1"/>
      <w:numFmt w:val="decimal"/>
      <w:isLgl w:val="false"/>
      <w:suff w:val="tab"/>
      <w:lvlText w:val="%1.%2.%3.%4.%5.%6.%7.%8."/>
      <w:lvlJc w:val="left"/>
      <w:pPr>
        <w:ind w:left="4320" w:hanging="1440"/>
      </w:pPr>
      <w:rPr>
        <w:rFonts w:cs="Times New Roman"/>
      </w:rPr>
    </w:lvl>
    <w:lvl w:ilvl="8">
      <w:start w:val="1"/>
      <w:numFmt w:val="decimal"/>
      <w:isLgl w:val="false"/>
      <w:suff w:val="tab"/>
      <w:lvlText w:val="%1.%2.%3.%4.%5.%6.%7.%8.%9."/>
      <w:lvlJc w:val="left"/>
      <w:pPr>
        <w:ind w:left="5040" w:hanging="180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6"/>
    <w:next w:val="836"/>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6"/>
    <w:next w:val="836"/>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6"/>
    <w:next w:val="836"/>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6"/>
    <w:next w:val="836"/>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6"/>
    <w:next w:val="836"/>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6"/>
    <w:next w:val="836"/>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6"/>
    <w:next w:val="836"/>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6"/>
    <w:next w:val="836"/>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6"/>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6"/>
    <w:next w:val="836"/>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6"/>
    <w:next w:val="836"/>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6"/>
    <w:next w:val="836"/>
    <w:link w:val="683"/>
    <w:uiPriority w:val="29"/>
    <w:qFormat/>
    <w:pPr>
      <w:ind w:left="720" w:right="720"/>
    </w:pPr>
    <w:rPr>
      <w:i/>
    </w:rPr>
  </w:style>
  <w:style w:type="character" w:styleId="683">
    <w:name w:val="Quote Char"/>
    <w:link w:val="682"/>
    <w:uiPriority w:val="29"/>
    <w:rPr>
      <w:i/>
    </w:rPr>
  </w:style>
  <w:style w:type="paragraph" w:styleId="684">
    <w:name w:val="Intense Quote"/>
    <w:basedOn w:val="836"/>
    <w:next w:val="836"/>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6"/>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6"/>
    <w:link w:val="691"/>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paragraph" w:styleId="690">
    <w:name w:val="Caption"/>
    <w:basedOn w:val="836"/>
    <w:next w:val="836"/>
    <w:uiPriority w:val="35"/>
    <w:semiHidden/>
    <w:unhideWhenUsed/>
    <w:qFormat/>
    <w:pPr>
      <w:spacing w:line="276" w:lineRule="auto"/>
    </w:pPr>
    <w:rPr>
      <w:b/>
      <w:bCs/>
      <w:color w:val="4f81bd" w:themeColor="accent1"/>
      <w:sz w:val="18"/>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8">
    <w:name w:val="Hyperlink"/>
    <w:uiPriority w:val="99"/>
    <w:unhideWhenUsed/>
    <w:rPr>
      <w:color w:val="0000ff" w:themeColor="hyperlink"/>
      <w:u w:val="single"/>
    </w:rPr>
  </w:style>
  <w:style w:type="paragraph" w:styleId="819">
    <w:name w:val="footnote text"/>
    <w:basedOn w:val="836"/>
    <w:link w:val="820"/>
    <w:uiPriority w:val="99"/>
    <w:semiHidden/>
    <w:unhideWhenUsed/>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rPr>
      <w:vertAlign w:val="superscript"/>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next w:val="836"/>
    <w:link w:val="836"/>
    <w:qFormat/>
    <w:rPr>
      <w:sz w:val="24"/>
      <w:szCs w:val="24"/>
      <w:lang w:val="ru-RU" w:eastAsia="ru-RU" w:bidi="ar-SA"/>
    </w:rPr>
  </w:style>
  <w:style w:type="character" w:styleId="837">
    <w:name w:val="Основной шрифт абзаца"/>
    <w:next w:val="837"/>
    <w:link w:val="836"/>
    <w:semiHidden/>
  </w:style>
  <w:style w:type="table" w:styleId="838">
    <w:name w:val="Обычная таблица"/>
    <w:next w:val="838"/>
    <w:link w:val="836"/>
    <w:semiHidden/>
    <w:tblPr/>
  </w:style>
  <w:style w:type="numbering" w:styleId="839">
    <w:name w:val="Нет списка"/>
    <w:next w:val="839"/>
    <w:link w:val="836"/>
    <w:semiHidden/>
  </w:style>
  <w:style w:type="paragraph" w:styleId="840">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6"/>
    <w:next w:val="840"/>
    <w:link w:val="847"/>
    <w:uiPriority w:val="99"/>
    <w:qFormat/>
    <w:pPr>
      <w:spacing w:before="100" w:beforeAutospacing="1" w:after="100" w:afterAutospacing="1"/>
    </w:pPr>
    <w:rPr>
      <w:lang w:val="en-US" w:eastAsia="en-US"/>
    </w:rPr>
  </w:style>
  <w:style w:type="paragraph" w:styleId="841">
    <w:name w:val="ConsPlusNonformat"/>
    <w:next w:val="841"/>
    <w:link w:val="836"/>
    <w:pPr>
      <w:widowControl w:val="off"/>
    </w:pPr>
    <w:rPr>
      <w:rFonts w:ascii="Courier New" w:hAnsi="Courier New" w:eastAsia="Arial" w:cs="Courier New"/>
      <w:lang w:val="ru-RU" w:eastAsia="ar-SA" w:bidi="ar-SA"/>
    </w:rPr>
  </w:style>
  <w:style w:type="paragraph" w:styleId="842">
    <w:name w:val="Текст выноски"/>
    <w:basedOn w:val="836"/>
    <w:next w:val="842"/>
    <w:link w:val="836"/>
    <w:semiHidden/>
    <w:rPr>
      <w:rFonts w:ascii="Tahoma" w:hAnsi="Tahoma" w:cs="Tahoma"/>
      <w:sz w:val="16"/>
      <w:szCs w:val="16"/>
    </w:rPr>
  </w:style>
  <w:style w:type="paragraph" w:styleId="843">
    <w:name w:val="Основной текст"/>
    <w:basedOn w:val="836"/>
    <w:next w:val="843"/>
    <w:link w:val="844"/>
    <w:pPr>
      <w:jc w:val="both"/>
    </w:pPr>
    <w:rPr>
      <w:sz w:val="28"/>
      <w:lang w:val="en-US" w:eastAsia="en-US"/>
    </w:rPr>
  </w:style>
  <w:style w:type="character" w:styleId="844">
    <w:name w:val="Основной текст Знак"/>
    <w:next w:val="844"/>
    <w:link w:val="843"/>
    <w:rPr>
      <w:sz w:val="28"/>
      <w:szCs w:val="24"/>
    </w:rPr>
  </w:style>
  <w:style w:type="paragraph" w:styleId="845">
    <w:name w:val="Без интервала"/>
    <w:next w:val="845"/>
    <w:link w:val="846"/>
    <w:qFormat/>
    <w:rPr>
      <w:sz w:val="24"/>
      <w:szCs w:val="22"/>
      <w:lang w:val="ru-RU" w:eastAsia="en-US" w:bidi="ar-SA"/>
    </w:rPr>
  </w:style>
  <w:style w:type="character" w:styleId="846">
    <w:name w:val="Без интервала Знак"/>
    <w:next w:val="846"/>
    <w:link w:val="845"/>
    <w:rPr>
      <w:sz w:val="24"/>
      <w:szCs w:val="22"/>
      <w:lang w:eastAsia="en-US" w:bidi="ar-SA"/>
    </w:rPr>
  </w:style>
  <w:style w:type="character" w:styleId="847">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7"/>
    <w:link w:val="840"/>
    <w:uiPriority w:val="99"/>
    <w:rPr>
      <w:sz w:val="24"/>
      <w:szCs w:val="24"/>
    </w:rPr>
  </w:style>
  <w:style w:type="paragraph" w:styleId="848">
    <w:name w:val="Абзац списка1"/>
    <w:basedOn w:val="836"/>
    <w:next w:val="848"/>
    <w:link w:val="836"/>
    <w:uiPriority w:val="99"/>
    <w:pPr>
      <w:ind w:left="720"/>
    </w:pPr>
    <w:rPr>
      <w:rFonts w:ascii="Calibri" w:hAnsi="Calibri" w:cs="Calibri"/>
      <w:sz w:val="22"/>
      <w:szCs w:val="22"/>
      <w:lang w:eastAsia="en-US"/>
    </w:rPr>
  </w:style>
  <w:style w:type="character" w:styleId="849" w:default="1">
    <w:name w:val="Default Paragraph Font"/>
    <w:uiPriority w:val="1"/>
    <w:semiHidden/>
    <w:unhideWhenUsed/>
  </w:style>
  <w:style w:type="numbering" w:styleId="850" w:default="1">
    <w:name w:val="No List"/>
    <w:uiPriority w:val="99"/>
    <w:semiHidden/>
    <w:unhideWhenUsed/>
  </w:style>
  <w:style w:type="table" w:styleId="8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45</cp:revision>
  <dcterms:created xsi:type="dcterms:W3CDTF">2019-01-10T18:09:00Z</dcterms:created>
  <dcterms:modified xsi:type="dcterms:W3CDTF">2026-04-03T10:03:06Z</dcterms:modified>
  <cp:version>917504</cp:version>
</cp:coreProperties>
</file>