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72</w:t>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highlight w:val="none"/>
              </w:rPr>
            </w:r>
          </w:p>
          <w:p>
            <w:pPr>
              <w:contextualSpacing/>
              <w:jc w:val="center"/>
              <w:spacing w:line="240" w:lineRule="auto"/>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p>
            <w:pPr>
              <w:pStyle w:val="691"/>
              <w:contextualSpacing/>
              <w:jc w:val="center"/>
              <w:spacing w:line="240" w:lineRule="auto"/>
              <w:rPr>
                <w:rFonts w:ascii="FreeSerif" w:hAnsi="FreeSerif" w:cs="FreeSerif"/>
                <w:b/>
                <w:sz w:val="28"/>
                <w:szCs w:val="28"/>
              </w:rPr>
            </w:pPr>
            <w:r>
              <w:rPr>
                <w:rFonts w:ascii="FreeSerif" w:hAnsi="FreeSerif" w:eastAsia="FreeSerif" w:cs="FreeSerif"/>
                <w:sz w:val="28"/>
                <w:szCs w:val="28"/>
              </w:rPr>
              <w:t xml:space="preserve">                                                                                                               Тысяч рублей</w:t>
            </w:r>
            <w:r>
              <w:rPr>
                <w:rFonts w:ascii="FreeSerif" w:hAnsi="FreeSerif" w:cs="FreeSerif"/>
                <w:b/>
                <w:sz w:val="28"/>
                <w:szCs w:val="28"/>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r>
    </w:tbl>
    <w:p>
      <w:pPr>
        <w:contextualSpacing/>
        <w:spacing w:line="240" w:lineRule="auto"/>
        <w:rPr>
          <w:rFonts w:ascii="FreeSerif" w:hAnsi="FreeSerif" w:cs="FreeSerif"/>
          <w:vanish/>
          <w:sz w:val="28"/>
          <w:szCs w:val="28"/>
        </w:rPr>
      </w:pPr>
      <w:r>
        <w:rPr>
          <w:rFonts w:ascii="FreeSerif" w:hAnsi="FreeSerif" w:eastAsia="FreeSerif" w:cs="FreeSerif"/>
          <w:vanish/>
          <w:sz w:val="28"/>
          <w:szCs w:val="28"/>
        </w:rPr>
      </w:r>
      <w:r>
        <w:rPr>
          <w:rFonts w:ascii="FreeSerif" w:hAnsi="FreeSerif" w:cs="FreeSerif"/>
          <w:vanish/>
          <w:sz w:val="28"/>
          <w:szCs w:val="28"/>
        </w:rPr>
      </w:r>
    </w:p>
    <w:tbl>
      <w:tblPr>
        <w:tblStyle w:val="689"/>
        <w:tblW w:w="9496" w:type="dxa"/>
        <w:tblInd w:w="108" w:type="dxa"/>
        <w:tblLayout w:type="fixed"/>
        <w:tblLook w:val="04A0" w:firstRow="1" w:lastRow="0" w:firstColumn="1" w:lastColumn="0" w:noHBand="0" w:noVBand="1"/>
      </w:tblPr>
      <w:tblGrid>
        <w:gridCol w:w="4961"/>
        <w:gridCol w:w="2268"/>
        <w:gridCol w:w="1134"/>
        <w:gridCol w:w="1134"/>
      </w:tblGrid>
      <w:tr>
        <w:tblPrEx/>
        <w:trPr>
          <w:trHeight w:val="300"/>
        </w:trPr>
        <w:tc>
          <w:tcPr>
            <w:tcW w:w="4961"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Наименование показателя</w:t>
            </w:r>
            <w:r>
              <w:rPr>
                <w:rFonts w:ascii="FreeSerif" w:hAnsi="FreeSerif" w:cs="FreeSerif"/>
                <w:bCs/>
                <w:sz w:val="24"/>
                <w:szCs w:val="24"/>
              </w:rPr>
            </w:r>
          </w:p>
        </w:tc>
        <w:tc>
          <w:tcPr>
            <w:tcW w:w="2268"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Код дохода по бюджетной классификации</w:t>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60 337,3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60</w:t>
            </w:r>
            <w:r>
              <w:rPr>
                <w:rFonts w:ascii="FreeSerif" w:hAnsi="FreeSerif" w:eastAsia="FreeSerif" w:cs="FreeSerif"/>
                <w:sz w:val="24"/>
                <w:szCs w:val="24"/>
              </w:rPr>
              <w:t xml:space="preserve"> </w:t>
            </w:r>
            <w:r>
              <w:rPr>
                <w:rFonts w:ascii="FreeSerif" w:hAnsi="FreeSerif" w:eastAsia="FreeSerif" w:cs="FreeSerif"/>
                <w:sz w:val="24"/>
                <w:szCs w:val="24"/>
              </w:rPr>
              <w:t xml:space="preserve">506</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39 056,4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39 226,0</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8 050,0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w:t>
            </w:r>
            <w:r>
              <w:rPr>
                <w:rFonts w:ascii="FreeSerif" w:hAnsi="FreeSerif" w:eastAsia="FreeSerif" w:cs="FreeSerif"/>
                <w:sz w:val="24"/>
                <w:szCs w:val="24"/>
              </w:rPr>
              <w:t xml:space="preserve"> </w:t>
            </w:r>
            <w:r>
              <w:rPr>
                <w:rFonts w:ascii="FreeSerif" w:hAnsi="FreeSerif" w:eastAsia="FreeSerif" w:cs="FreeSerif"/>
                <w:sz w:val="24"/>
                <w:szCs w:val="24"/>
              </w:rPr>
              <w:t xml:space="preserve">217</w:t>
            </w:r>
            <w:r>
              <w:rPr>
                <w:rFonts w:ascii="FreeSerif" w:hAnsi="FreeSerif" w:eastAsia="FreeSerif" w:cs="FreeSerif"/>
                <w:sz w:val="24"/>
                <w:szCs w:val="24"/>
              </w:rPr>
              <w:t xml:space="preserve">,7</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8 050,0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w:t>
            </w:r>
            <w:r>
              <w:rPr>
                <w:rFonts w:ascii="FreeSerif" w:hAnsi="FreeSerif" w:eastAsia="FreeSerif" w:cs="FreeSerif"/>
                <w:sz w:val="24"/>
                <w:szCs w:val="24"/>
              </w:rPr>
              <w:t xml:space="preserve"> </w:t>
            </w:r>
            <w:r>
              <w:rPr>
                <w:rFonts w:ascii="FreeSerif" w:hAnsi="FreeSerif" w:eastAsia="FreeSerif" w:cs="FreeSerif"/>
                <w:sz w:val="24"/>
                <w:szCs w:val="24"/>
              </w:rPr>
              <w:t xml:space="preserve">217</w:t>
            </w:r>
            <w:r>
              <w:rPr>
                <w:rFonts w:ascii="FreeSerif" w:hAnsi="FreeSerif" w:eastAsia="FreeSerif" w:cs="FreeSerif"/>
                <w:sz w:val="24"/>
                <w:szCs w:val="24"/>
              </w:rPr>
              <w:t xml:space="preserve">,7</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6 598,4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w:t>
            </w:r>
            <w:r>
              <w:rPr>
                <w:rFonts w:ascii="FreeSerif" w:hAnsi="FreeSerif" w:eastAsia="FreeSerif" w:cs="FreeSerif"/>
                <w:sz w:val="24"/>
                <w:szCs w:val="24"/>
              </w:rPr>
              <w:t xml:space="preserve"> </w:t>
            </w:r>
            <w:r>
              <w:rPr>
                <w:rFonts w:ascii="FreeSerif" w:hAnsi="FreeSerif" w:eastAsia="FreeSerif" w:cs="FreeSerif"/>
                <w:sz w:val="24"/>
                <w:szCs w:val="24"/>
              </w:rPr>
              <w:t xml:space="preserve">605</w:t>
            </w:r>
            <w:r>
              <w:rPr>
                <w:rFonts w:ascii="FreeSerif" w:hAnsi="FreeSerif" w:eastAsia="FreeSerif" w:cs="FreeSerif"/>
                <w:sz w:val="24"/>
                <w:szCs w:val="24"/>
              </w:rPr>
              <w:t xml:space="preserve">,4</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6 598,4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w:t>
            </w:r>
            <w:r>
              <w:rPr>
                <w:rFonts w:ascii="FreeSerif" w:hAnsi="FreeSerif" w:eastAsia="FreeSerif" w:cs="FreeSerif"/>
                <w:sz w:val="24"/>
                <w:szCs w:val="24"/>
              </w:rPr>
              <w:t xml:space="preserve"> </w:t>
            </w:r>
            <w:r>
              <w:rPr>
                <w:rFonts w:ascii="FreeSerif" w:hAnsi="FreeSerif" w:eastAsia="FreeSerif" w:cs="FreeSerif"/>
                <w:sz w:val="24"/>
                <w:szCs w:val="24"/>
              </w:rPr>
              <w:t xml:space="preserve">605</w:t>
            </w:r>
            <w:r>
              <w:rPr>
                <w:rFonts w:ascii="FreeSerif" w:hAnsi="FreeSerif" w:eastAsia="FreeSerif" w:cs="FreeSerif"/>
                <w:sz w:val="24"/>
                <w:szCs w:val="24"/>
              </w:rPr>
              <w:t xml:space="preserve">,4</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10302230010000110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3 209,7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 </w:t>
            </w:r>
            <w:r>
              <w:rPr>
                <w:rFonts w:ascii="FreeSerif" w:hAnsi="FreeSerif" w:eastAsia="FreeSerif" w:cs="FreeSerif"/>
                <w:sz w:val="24"/>
                <w:szCs w:val="24"/>
              </w:rPr>
              <w:t xml:space="preserve">412</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15 630,0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w:t>
            </w:r>
            <w:r>
              <w:rPr>
                <w:rFonts w:ascii="FreeSerif" w:hAnsi="FreeSerif" w:eastAsia="FreeSerif" w:cs="FreeSerif"/>
                <w:sz w:val="24"/>
                <w:szCs w:val="24"/>
              </w:rPr>
              <w:t xml:space="preserve"> </w:t>
            </w:r>
            <w:r>
              <w:rPr>
                <w:rFonts w:ascii="FreeSerif" w:hAnsi="FreeSerif" w:eastAsia="FreeSerif" w:cs="FreeSerif"/>
                <w:sz w:val="24"/>
                <w:szCs w:val="24"/>
              </w:rPr>
              <w:t xml:space="preserve">631</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10503000010000110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15 630,0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w:t>
            </w:r>
            <w:r>
              <w:rPr>
                <w:rFonts w:ascii="FreeSerif" w:hAnsi="FreeSerif" w:eastAsia="FreeSerif" w:cs="FreeSerif"/>
                <w:sz w:val="24"/>
                <w:szCs w:val="24"/>
              </w:rPr>
              <w:t xml:space="preserve"> </w:t>
            </w:r>
            <w:r>
              <w:rPr>
                <w:rFonts w:ascii="FreeSerif" w:hAnsi="FreeSerif" w:eastAsia="FreeSerif" w:cs="FreeSerif"/>
                <w:sz w:val="24"/>
                <w:szCs w:val="24"/>
              </w:rPr>
              <w:t xml:space="preserve">631</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8 692,0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w:t>
            </w:r>
            <w:r>
              <w:rPr>
                <w:rFonts w:ascii="FreeSerif" w:hAnsi="FreeSerif" w:eastAsia="FreeSerif" w:cs="FreeSerif"/>
                <w:sz w:val="24"/>
                <w:szCs w:val="24"/>
              </w:rPr>
              <w:t xml:space="preserve"> </w:t>
            </w:r>
            <w:r>
              <w:rPr>
                <w:rFonts w:ascii="FreeSerif" w:hAnsi="FreeSerif" w:eastAsia="FreeSerif" w:cs="FreeSerif"/>
                <w:sz w:val="24"/>
                <w:szCs w:val="24"/>
              </w:rPr>
              <w:t xml:space="preserve">684</w:t>
            </w:r>
            <w:r>
              <w:rPr>
                <w:rFonts w:ascii="FreeSerif" w:hAnsi="FreeSerif" w:eastAsia="FreeSerif" w:cs="FreeSerif"/>
                <w:sz w:val="24"/>
                <w:szCs w:val="24"/>
              </w:rPr>
              <w:t xml:space="preserve">,7</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2 300,0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299</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6 392,0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w:t>
            </w:r>
            <w:r>
              <w:rPr>
                <w:rFonts w:ascii="FreeSerif" w:hAnsi="FreeSerif" w:eastAsia="FreeSerif" w:cs="FreeSerif"/>
                <w:sz w:val="24"/>
                <w:szCs w:val="24"/>
              </w:rPr>
              <w:t xml:space="preserve"> </w:t>
            </w:r>
            <w:r>
              <w:rPr>
                <w:rFonts w:ascii="FreeSerif" w:hAnsi="FreeSerif" w:eastAsia="FreeSerif" w:cs="FreeSerif"/>
                <w:sz w:val="24"/>
                <w:szCs w:val="24"/>
              </w:rPr>
              <w:t xml:space="preserve">385</w:t>
            </w:r>
            <w:r>
              <w:rPr>
                <w:rFonts w:ascii="FreeSerif" w:hAnsi="FreeSerif" w:eastAsia="FreeSerif" w:cs="FreeSerif"/>
                <w:sz w:val="24"/>
                <w:szCs w:val="24"/>
              </w:rPr>
              <w:t xml:space="preserve">,7</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1 792,0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806</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4 600,0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579</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ИСПОЛЬЗОВАНИЯ ИМУЩЕСТВА, НАХОДЯЩЕГОСЯ В ГОСУДАРСТВЕННОЙ И МУНИЦИПАЛЬНОЙ СОБСТВЕННОСТИ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85</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получаемые в виде арендной либо </w:t>
            </w:r>
            <w:r>
              <w:rPr>
                <w:rFonts w:ascii="FreeSerif" w:hAnsi="FreeSerif" w:eastAsia="FreeSerif" w:cs="FreeSerif"/>
                <w:sz w:val="24"/>
                <w:szCs w:val="24"/>
              </w:rPr>
              <w:t xml:space="preserve">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11105000000000120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85</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ШТРАФЫ, САНКЦИИ, ВОЗМЕЩЕНИЕ УЩЕРБА</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Административные штрафы, установленные законами субъектов Российской Федерации об административных правонарушениях</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11602000020000140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21 280,9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w:t>
            </w:r>
            <w:r>
              <w:rPr>
                <w:rFonts w:ascii="FreeSerif" w:hAnsi="FreeSerif" w:eastAsia="FreeSerif" w:cs="FreeSerif"/>
                <w:sz w:val="24"/>
                <w:szCs w:val="24"/>
              </w:rPr>
              <w:t xml:space="preserve"> </w:t>
            </w:r>
            <w:r>
              <w:rPr>
                <w:rFonts w:ascii="FreeSerif" w:hAnsi="FreeSerif" w:eastAsia="FreeSerif" w:cs="FreeSerif"/>
                <w:sz w:val="24"/>
                <w:szCs w:val="24"/>
              </w:rPr>
              <w:t xml:space="preserve">280</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21 280,9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w:t>
            </w:r>
            <w:r>
              <w:rPr>
                <w:rFonts w:ascii="FreeSerif" w:hAnsi="FreeSerif" w:eastAsia="FreeSerif" w:cs="FreeSerif"/>
                <w:sz w:val="24"/>
                <w:szCs w:val="24"/>
              </w:rPr>
              <w:t xml:space="preserve"> </w:t>
            </w:r>
            <w:r>
              <w:rPr>
                <w:rFonts w:ascii="FreeSerif" w:hAnsi="FreeSerif" w:eastAsia="FreeSerif" w:cs="FreeSerif"/>
                <w:sz w:val="24"/>
                <w:szCs w:val="24"/>
              </w:rPr>
              <w:t xml:space="preserve">280</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8 155,7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w:t>
            </w:r>
            <w:r>
              <w:rPr>
                <w:rFonts w:ascii="FreeSerif" w:hAnsi="FreeSerif" w:eastAsia="FreeSerif" w:cs="FreeSerif"/>
                <w:sz w:val="24"/>
                <w:szCs w:val="24"/>
              </w:rPr>
              <w:t xml:space="preserve"> </w:t>
            </w:r>
            <w:r>
              <w:rPr>
                <w:rFonts w:ascii="FreeSerif" w:hAnsi="FreeSerif" w:eastAsia="FreeSerif" w:cs="FreeSerif"/>
                <w:sz w:val="24"/>
                <w:szCs w:val="24"/>
              </w:rPr>
              <w:t xml:space="preserve">155</w:t>
            </w:r>
            <w:r>
              <w:rPr>
                <w:rFonts w:ascii="FreeSerif" w:hAnsi="FreeSerif" w:eastAsia="FreeSerif" w:cs="FreeSerif"/>
                <w:sz w:val="24"/>
                <w:szCs w:val="24"/>
              </w:rPr>
              <w:t xml:space="preserve">,7</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на выравнивание бюджетной обеспеченности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469</w:t>
            </w:r>
            <w:r>
              <w:rPr>
                <w:rFonts w:ascii="FreeSerif" w:hAnsi="FreeSerif" w:eastAsia="FreeSerif" w:cs="FreeSerif"/>
                <w:sz w:val="24"/>
                <w:szCs w:val="24"/>
              </w:rPr>
              <w:t xml:space="preserve">,</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469</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на поддержку мер по обеспечению сбалансированности бюджетов</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20215002000000150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 </w:t>
            </w:r>
            <w:r>
              <w:rPr>
                <w:rFonts w:ascii="FreeSerif" w:hAnsi="FreeSerif" w:eastAsia="FreeSerif" w:cs="FreeSerif"/>
                <w:sz w:val="24"/>
                <w:szCs w:val="24"/>
              </w:rPr>
              <w:t xml:space="preserve">685</w:t>
            </w:r>
            <w:r>
              <w:rPr>
                <w:rFonts w:ascii="FreeSerif" w:hAnsi="FreeSerif" w:eastAsia="FreeSerif" w:cs="FreeSerif"/>
                <w:sz w:val="24"/>
                <w:szCs w:val="24"/>
              </w:rPr>
              <w:t xml:space="preserve">,9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 </w:t>
            </w:r>
            <w:r>
              <w:rPr>
                <w:rFonts w:ascii="FreeSerif" w:hAnsi="FreeSerif" w:eastAsia="FreeSerif" w:cs="FreeSerif"/>
                <w:sz w:val="24"/>
                <w:szCs w:val="24"/>
              </w:rPr>
              <w:t xml:space="preserve">685</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бюджетной системы Российской Федерации (межбюджетные субсидии)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7 650,0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7 650,0</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на реализацию программ формирования современной городской среды</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20225555000000150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7 650,0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7 650,0</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358</w:t>
            </w:r>
            <w:r>
              <w:rPr>
                <w:rFonts w:ascii="FreeSerif" w:hAnsi="FreeSerif" w:eastAsia="FreeSerif" w:cs="FreeSerif"/>
                <w:sz w:val="24"/>
                <w:szCs w:val="24"/>
              </w:rPr>
              <w:t xml:space="preserve">,9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358</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местным бюджетам на выполнение передаваемых полномочий субъектов Российской Федерации</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355</w:t>
            </w:r>
            <w:r>
              <w:rPr>
                <w:rFonts w:ascii="FreeSerif" w:hAnsi="FreeSerif" w:eastAsia="FreeSerif" w:cs="FreeSerif"/>
                <w:sz w:val="24"/>
                <w:szCs w:val="24"/>
              </w:rPr>
              <w:t xml:space="preserve">,1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355</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w:t>
            </w:r>
            <w:r>
              <w:rPr>
                <w:rFonts w:ascii="FreeSerif" w:hAnsi="FreeSerif" w:eastAsia="FreeSerif" w:cs="FreeSerif"/>
                <w:sz w:val="24"/>
                <w:szCs w:val="24"/>
              </w:rPr>
              <w:t xml:space="preserve"> </w:t>
            </w:r>
            <w:r>
              <w:rPr>
                <w:rFonts w:ascii="FreeSerif" w:hAnsi="FreeSerif" w:eastAsia="FreeSerif" w:cs="FreeSerif"/>
                <w:sz w:val="24"/>
                <w:szCs w:val="24"/>
              </w:rPr>
              <w:t xml:space="preserve">116</w:t>
            </w:r>
            <w:r>
              <w:rPr>
                <w:rFonts w:ascii="FreeSerif" w:hAnsi="FreeSerif" w:eastAsia="FreeSerif" w:cs="FreeSerif"/>
                <w:sz w:val="24"/>
                <w:szCs w:val="24"/>
              </w:rPr>
              <w:t xml:space="preserve">,3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w:t>
            </w:r>
            <w:r>
              <w:rPr>
                <w:rFonts w:ascii="FreeSerif" w:hAnsi="FreeSerif" w:eastAsia="FreeSerif" w:cs="FreeSerif"/>
                <w:sz w:val="24"/>
                <w:szCs w:val="24"/>
              </w:rPr>
              <w:t xml:space="preserve"> </w:t>
            </w:r>
            <w:r>
              <w:rPr>
                <w:rFonts w:ascii="FreeSerif" w:hAnsi="FreeSerif" w:eastAsia="FreeSerif" w:cs="FreeSerif"/>
                <w:sz w:val="24"/>
                <w:szCs w:val="24"/>
              </w:rPr>
              <w:t xml:space="preserve">116</w:t>
            </w:r>
            <w:r>
              <w:rPr>
                <w:rFonts w:ascii="FreeSerif" w:hAnsi="FreeSerif" w:eastAsia="FreeSerif" w:cs="FreeSerif"/>
                <w:sz w:val="24"/>
                <w:szCs w:val="24"/>
              </w:rPr>
              <w:t xml:space="preserve">,3</w:t>
            </w:r>
            <w:r>
              <w:rPr>
                <w:rFonts w:ascii="FreeSerif" w:hAnsi="FreeSerif" w:cs="FreeSerif"/>
                <w:sz w:val="24"/>
                <w:szCs w:val="24"/>
              </w:rPr>
            </w:r>
          </w:p>
        </w:tc>
      </w:tr>
      <w:tr>
        <w:tblPrEx/>
        <w:trPr>
          <w:trHeight w:val="300"/>
        </w:trPr>
        <w:tc>
          <w:tcPr>
            <w:tcW w:w="4961"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w:t>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w:t>
            </w:r>
            <w:r>
              <w:rPr>
                <w:rFonts w:ascii="FreeSerif" w:hAnsi="FreeSerif" w:eastAsia="FreeSerif" w:cs="FreeSerif"/>
                <w:sz w:val="24"/>
                <w:szCs w:val="24"/>
              </w:rPr>
              <w:t xml:space="preserve"> </w:t>
            </w:r>
            <w:r>
              <w:rPr>
                <w:rFonts w:ascii="FreeSerif" w:hAnsi="FreeSerif" w:eastAsia="FreeSerif" w:cs="FreeSerif"/>
                <w:sz w:val="24"/>
                <w:szCs w:val="24"/>
              </w:rPr>
              <w:t xml:space="preserve">116</w:t>
            </w:r>
            <w:r>
              <w:rPr>
                <w:rFonts w:ascii="FreeSerif" w:hAnsi="FreeSerif" w:eastAsia="FreeSerif" w:cs="FreeSerif"/>
                <w:sz w:val="24"/>
                <w:szCs w:val="24"/>
              </w:rPr>
              <w:t xml:space="preserve">,3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w:t>
            </w:r>
            <w:r>
              <w:rPr>
                <w:rFonts w:ascii="FreeSerif" w:hAnsi="FreeSerif" w:eastAsia="FreeSerif" w:cs="FreeSerif"/>
                <w:sz w:val="24"/>
                <w:szCs w:val="24"/>
              </w:rPr>
              <w:t xml:space="preserve"> </w:t>
            </w:r>
            <w:r>
              <w:rPr>
                <w:rFonts w:ascii="FreeSerif" w:hAnsi="FreeSerif" w:eastAsia="FreeSerif" w:cs="FreeSerif"/>
                <w:sz w:val="24"/>
                <w:szCs w:val="24"/>
              </w:rPr>
              <w:t xml:space="preserve">116</w:t>
            </w:r>
            <w:r>
              <w:rPr>
                <w:rFonts w:ascii="FreeSerif" w:hAnsi="FreeSerif" w:eastAsia="FreeSerif" w:cs="FreeSerif"/>
                <w:sz w:val="24"/>
                <w:szCs w:val="24"/>
              </w:rPr>
              <w:t xml:space="preserve">,3</w:t>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bookmarkStart w:id="0" w:name="_GoBack"/>
      <w:r>
        <w:rPr>
          <w:rFonts w:ascii="FreeSerif" w:hAnsi="FreeSerif" w:eastAsia="FreeSerif" w:cs="FreeSerif"/>
          <w:sz w:val="28"/>
          <w:szCs w:val="28"/>
        </w:rPr>
      </w:r>
      <w:bookmarkEnd w:id="0"/>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sectPr>
      <w:headerReference w:type="default" r:id="rId8"/>
      <w:footnotePr/>
      <w:endnotePr/>
      <w:type w:val="nextPage"/>
      <w:pgSz w:w="11906" w:h="16838" w:orient="portrait"/>
      <w:pgMar w:top="567" w:right="624"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6"/>
      <w:rPr>
        <w:rStyle w:val="678"/>
        <w:sz w:val="28"/>
        <w:szCs w:val="28"/>
      </w:rPr>
      <w:framePr w:wrap="auto" w:vAnchor="text" w:hAnchor="margin" w:xAlign="center" w:y="1"/>
    </w:pPr>
    <w:r>
      <w:rPr>
        <w:rStyle w:val="678"/>
        <w:sz w:val="28"/>
        <w:szCs w:val="28"/>
      </w:rPr>
      <w:fldChar w:fldCharType="begin"/>
    </w:r>
    <w:r>
      <w:rPr>
        <w:rStyle w:val="678"/>
        <w:sz w:val="28"/>
        <w:szCs w:val="28"/>
      </w:rPr>
      <w:instrText xml:space="preserve">PAGE  </w:instrText>
    </w:r>
    <w:r>
      <w:rPr>
        <w:rStyle w:val="678"/>
        <w:sz w:val="28"/>
        <w:szCs w:val="28"/>
      </w:rPr>
      <w:fldChar w:fldCharType="separate"/>
    </w:r>
    <w:r>
      <w:rPr>
        <w:rStyle w:val="678"/>
        <w:sz w:val="28"/>
        <w:szCs w:val="28"/>
      </w:rPr>
      <w:t xml:space="preserve">2</w:t>
    </w:r>
    <w:r>
      <w:rPr>
        <w:rStyle w:val="678"/>
        <w:sz w:val="28"/>
        <w:szCs w:val="28"/>
      </w:rPr>
      <w:fldChar w:fldCharType="end"/>
    </w:r>
    <w:r>
      <w:rPr>
        <w:rStyle w:val="678"/>
        <w:sz w:val="28"/>
        <w:szCs w:val="28"/>
      </w:rPr>
    </w:r>
  </w:p>
  <w:p>
    <w:pPr>
      <w:pStyle w:val="676"/>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73"/>
    <w:link w:val="672"/>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3"/>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3"/>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3"/>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3"/>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3"/>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3"/>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3"/>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3"/>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3"/>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3"/>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3"/>
    <w:link w:val="676"/>
    <w:uiPriority w:val="99"/>
  </w:style>
  <w:style w:type="character" w:styleId="45">
    <w:name w:val="Footer Char"/>
    <w:basedOn w:val="673"/>
    <w:link w:val="687"/>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7"/>
    <w:uiPriority w:val="99"/>
  </w:style>
  <w:style w:type="table" w:styleId="49">
    <w:name w:val="Table Grid Light"/>
    <w:basedOn w:val="67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4"/>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4"/>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4"/>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4"/>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4"/>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3"/>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3"/>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paragraph" w:styleId="672">
    <w:name w:val="Heading 1"/>
    <w:basedOn w:val="671"/>
    <w:next w:val="671"/>
    <w:link w:val="690"/>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character" w:styleId="673" w:default="1">
    <w:name w:val="Default Paragraph Font"/>
    <w:uiPriority w:val="1"/>
    <w:semiHidden/>
    <w:unhideWhenUsed/>
  </w:style>
  <w:style w:type="table" w:styleId="674" w:default="1">
    <w:name w:val="Normal Table"/>
    <w:uiPriority w:val="99"/>
    <w:semiHidden/>
    <w:unhideWhenUsed/>
    <w:tblPr>
      <w:tblInd w:w="0" w:type="dxa"/>
      <w:tblCellMar>
        <w:left w:w="108" w:type="dxa"/>
        <w:top w:w="0" w:type="dxa"/>
        <w:right w:w="108" w:type="dxa"/>
        <w:bottom w:w="0" w:type="dxa"/>
      </w:tblCellMar>
    </w:tblPr>
  </w:style>
  <w:style w:type="numbering" w:styleId="675" w:default="1">
    <w:name w:val="No List"/>
    <w:uiPriority w:val="99"/>
    <w:semiHidden/>
    <w:unhideWhenUsed/>
  </w:style>
  <w:style w:type="paragraph" w:styleId="676">
    <w:name w:val="Header"/>
    <w:basedOn w:val="671"/>
    <w:link w:val="677"/>
    <w:uiPriority w:val="99"/>
    <w:pPr>
      <w:tabs>
        <w:tab w:val="center" w:pos="4677" w:leader="none"/>
        <w:tab w:val="right" w:pos="9355" w:leader="none"/>
      </w:tabs>
    </w:pPr>
  </w:style>
  <w:style w:type="character" w:styleId="677" w:customStyle="1">
    <w:name w:val="Верхний колонтитул Знак"/>
    <w:link w:val="676"/>
    <w:uiPriority w:val="99"/>
    <w:semiHidden/>
    <w:rPr>
      <w:sz w:val="16"/>
      <w:szCs w:val="16"/>
    </w:rPr>
  </w:style>
  <w:style w:type="character" w:styleId="678">
    <w:name w:val="page number"/>
    <w:basedOn w:val="673"/>
    <w:uiPriority w:val="99"/>
  </w:style>
  <w:style w:type="paragraph" w:styleId="679"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80">
    <w:name w:val="Balloon Text"/>
    <w:basedOn w:val="671"/>
    <w:link w:val="681"/>
    <w:uiPriority w:val="99"/>
    <w:semiHidden/>
    <w:rPr>
      <w:rFonts w:ascii="Tahoma" w:hAnsi="Tahoma" w:cs="Tahoma"/>
    </w:rPr>
  </w:style>
  <w:style w:type="character" w:styleId="681" w:customStyle="1">
    <w:name w:val="Текст выноски Знак"/>
    <w:link w:val="680"/>
    <w:uiPriority w:val="99"/>
    <w:semiHidden/>
    <w:rPr>
      <w:sz w:val="2"/>
      <w:szCs w:val="2"/>
    </w:rPr>
  </w:style>
  <w:style w:type="paragraph" w:styleId="682"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4" w:customStyle="1">
    <w:name w:val="Прижатый влево"/>
    <w:basedOn w:val="671"/>
    <w:next w:val="671"/>
    <w:uiPriority w:val="99"/>
    <w:pPr>
      <w:widowControl w:val="off"/>
    </w:pPr>
    <w:rPr>
      <w:rFonts w:ascii="Arial" w:hAnsi="Arial" w:cs="Arial"/>
      <w:sz w:val="24"/>
      <w:szCs w:val="24"/>
    </w:rPr>
  </w:style>
  <w:style w:type="paragraph" w:styleId="685" w:customStyle="1">
    <w:name w:val="Нормальный (таблица)"/>
    <w:basedOn w:val="671"/>
    <w:next w:val="671"/>
    <w:uiPriority w:val="99"/>
    <w:pPr>
      <w:jc w:val="both"/>
      <w:widowControl w:val="off"/>
    </w:pPr>
    <w:rPr>
      <w:rFonts w:ascii="Arial" w:hAnsi="Arial" w:cs="Arial"/>
      <w:sz w:val="24"/>
      <w:szCs w:val="24"/>
    </w:rPr>
  </w:style>
  <w:style w:type="paragraph" w:styleId="686"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7">
    <w:name w:val="Footer"/>
    <w:basedOn w:val="671"/>
    <w:link w:val="688"/>
    <w:uiPriority w:val="99"/>
    <w:pPr>
      <w:tabs>
        <w:tab w:val="center" w:pos="4677" w:leader="none"/>
        <w:tab w:val="right" w:pos="9355" w:leader="none"/>
      </w:tabs>
    </w:pPr>
  </w:style>
  <w:style w:type="character" w:styleId="688" w:customStyle="1">
    <w:name w:val="Нижний колонтитул Знак"/>
    <w:link w:val="687"/>
    <w:uiPriority w:val="99"/>
    <w:semiHidden/>
    <w:rPr>
      <w:sz w:val="16"/>
      <w:szCs w:val="16"/>
    </w:rPr>
  </w:style>
  <w:style w:type="table" w:styleId="689">
    <w:name w:val="Table Grid"/>
    <w:basedOn w:val="674"/>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690" w:customStyle="1">
    <w:name w:val="Заголовок 1 Знак"/>
    <w:basedOn w:val="673"/>
    <w:link w:val="672"/>
    <w:rPr>
      <w:rFonts w:asciiTheme="majorHAnsi" w:hAnsiTheme="majorHAnsi" w:eastAsiaTheme="majorEastAsia" w:cstheme="majorBidi"/>
      <w:b/>
      <w:bCs/>
      <w:color w:val="365f91" w:themeColor="accent1" w:themeShade="BF"/>
      <w:sz w:val="28"/>
      <w:szCs w:val="28"/>
    </w:rPr>
  </w:style>
  <w:style w:type="paragraph" w:styleId="691">
    <w:name w:val="No Spacing"/>
    <w:uiPriority w:val="1"/>
    <w:qFormat/>
    <w:rPr>
      <w:sz w:val="16"/>
      <w:szCs w:val="1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AF35-A49D-4F09-960E-43179649C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9</cp:revision>
  <dcterms:created xsi:type="dcterms:W3CDTF">2022-03-03T08:45:00Z</dcterms:created>
  <dcterms:modified xsi:type="dcterms:W3CDTF">2025-06-30T11:28:36Z</dcterms:modified>
</cp:coreProperties>
</file>