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rFonts w:ascii="FreeSerif" w:hAnsi="FreeSerif" w:cs="FreeSerif"/>
          <w:bCs/>
          <w:sz w:val="24"/>
          <w:szCs w:val="24"/>
        </w:rPr>
      </w:pPr>
      <w:r>
        <w:rPr>
          <w:rFonts w:ascii="FreeSerif" w:hAnsi="FreeSerif" w:eastAsia="FreeSerif" w:cs="FreeSerif"/>
          <w:bCs/>
          <w:sz w:val="24"/>
          <w:szCs w:val="24"/>
        </w:rPr>
        <w:t xml:space="preserve">СВОДНЫЙ ОТЧЕТ</w:t>
      </w:r>
      <w:r>
        <w:rPr>
          <w:rFonts w:ascii="FreeSerif" w:hAnsi="FreeSerif" w:cs="FreeSerif"/>
          <w:bCs/>
          <w:sz w:val="24"/>
          <w:szCs w:val="24"/>
        </w:rPr>
      </w:r>
    </w:p>
    <w:p>
      <w:pPr>
        <w:pStyle w:val="926"/>
        <w:jc w:val="center"/>
        <w:rPr>
          <w:rFonts w:ascii="FreeSerif" w:hAnsi="FreeSerif" w:cs="FreeSerif"/>
          <w:bCs/>
          <w:sz w:val="24"/>
          <w:szCs w:val="24"/>
        </w:rPr>
      </w:pPr>
      <w:r>
        <w:rPr>
          <w:rFonts w:ascii="FreeSerif" w:hAnsi="FreeSerif" w:eastAsia="FreeSerif" w:cs="FreeSerif"/>
          <w:bCs/>
          <w:sz w:val="24"/>
          <w:szCs w:val="24"/>
        </w:rPr>
        <w:t xml:space="preserve">о результатах проведения оценки регулирующего воздействия</w:t>
      </w:r>
      <w:r>
        <w:rPr>
          <w:rFonts w:ascii="FreeSerif" w:hAnsi="FreeSerif" w:cs="FreeSerif"/>
          <w:bCs/>
          <w:sz w:val="24"/>
          <w:szCs w:val="24"/>
        </w:rPr>
      </w:r>
    </w:p>
    <w:p>
      <w:pPr>
        <w:pStyle w:val="926"/>
        <w:jc w:val="center"/>
        <w:rPr>
          <w:rFonts w:ascii="FreeSerif" w:hAnsi="FreeSerif" w:cs="FreeSerif"/>
          <w:bCs/>
          <w:sz w:val="24"/>
          <w:szCs w:val="24"/>
        </w:rPr>
      </w:pPr>
      <w:r>
        <w:rPr>
          <w:rFonts w:ascii="FreeSerif" w:hAnsi="FreeSerif" w:eastAsia="FreeSerif" w:cs="FreeSerif"/>
          <w:bCs/>
          <w:sz w:val="24"/>
          <w:szCs w:val="24"/>
        </w:rPr>
        <w:t xml:space="preserve">проектов муниципальных нормативных правовых актов</w:t>
      </w:r>
      <w:r>
        <w:rPr>
          <w:rFonts w:ascii="FreeSerif" w:hAnsi="FreeSerif" w:cs="FreeSerif"/>
          <w:bCs/>
          <w:sz w:val="24"/>
          <w:szCs w:val="24"/>
        </w:rPr>
      </w:r>
    </w:p>
    <w:p>
      <w:pPr>
        <w:pStyle w:val="926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/>
      <w:bookmarkStart w:id="0" w:name="Par201"/>
      <w:r/>
      <w:bookmarkEnd w:id="0"/>
      <w:r>
        <w:rPr>
          <w:rFonts w:ascii="FreeSerif" w:hAnsi="FreeSerif" w:eastAsia="FreeSerif" w:cs="FreeSerif"/>
          <w:sz w:val="24"/>
          <w:szCs w:val="24"/>
        </w:rPr>
        <w:t xml:space="preserve">1. Общая информация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numPr>
          <w:ilvl w:val="1"/>
          <w:numId w:val="3"/>
        </w:numPr>
        <w:ind w:left="0" w:firstLine="567"/>
        <w:jc w:val="both"/>
        <w:tabs>
          <w:tab w:val="left" w:pos="1134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Регулирующий орган: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tabs>
          <w:tab w:val="left" w:pos="1134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Отдел экономики администрации муниципального образования Ленинградский муниципальный округ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numPr>
          <w:ilvl w:val="1"/>
          <w:numId w:val="3"/>
        </w:numPr>
        <w:ind w:left="0"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Вид и наименование проекта муниципального нормативного правового акта: 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  <w:outlineLvl w:val="0"/>
      </w:pPr>
      <w:r>
        <w:rPr>
          <w:rFonts w:ascii="FreeSerif" w:hAnsi="FreeSerif" w:eastAsia="FreeSerif" w:cs="FreeSerif"/>
          <w:sz w:val="24"/>
          <w:szCs w:val="24"/>
        </w:rPr>
        <w:t xml:space="preserve">Проект постановления администрации муниципального образов</w:t>
      </w:r>
      <w:r>
        <w:rPr>
          <w:rFonts w:ascii="FreeSerif" w:hAnsi="FreeSerif" w:eastAsia="FreeSerif" w:cs="FreeSerif"/>
          <w:sz w:val="24"/>
          <w:szCs w:val="24"/>
        </w:rPr>
        <w:t xml:space="preserve">ания Ленинградский муниципальный округ Краснодарского края «Об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 </w:t>
      </w:r>
      <w:r>
        <w:rPr>
          <w:rFonts w:ascii="FreeSerif" w:hAnsi="FreeSerif" w:eastAsia="FreeSerif" w:cs="FreeSerif"/>
          <w:sz w:val="24"/>
          <w:szCs w:val="24"/>
        </w:rPr>
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разграничена» (далее – МНПА).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numPr>
          <w:ilvl w:val="1"/>
          <w:numId w:val="3"/>
        </w:numPr>
        <w:ind w:left="0" w:firstLine="567"/>
        <w:jc w:val="both"/>
        <w:tabs>
          <w:tab w:val="left" w:pos="1134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Предполагаемая дата вступления в силу муниципального нормативного правового акта: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tabs>
          <w:tab w:val="left" w:pos="1134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апрель 2025 г.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tabs>
          <w:tab w:val="left" w:pos="1134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eastAsia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Отсутствие возможности </w:t>
      </w:r>
      <w:r>
        <w:rPr>
          <w:rFonts w:ascii="FreeSerif" w:hAnsi="FreeSerif" w:eastAsia="FreeSerif" w:cs="FreeSerif"/>
          <w:sz w:val="24"/>
          <w:szCs w:val="24"/>
        </w:rPr>
        <w:t xml:space="preserve">размещения  новых</w:t>
      </w:r>
      <w:r>
        <w:rPr>
          <w:rFonts w:ascii="FreeSerif" w:hAnsi="FreeSerif" w:eastAsia="FreeSerif" w:cs="FreeSerif"/>
          <w:sz w:val="24"/>
          <w:szCs w:val="24"/>
        </w:rPr>
        <w:t xml:space="preserve"> нестационарных торговых объектов.</w:t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numPr>
          <w:ilvl w:val="1"/>
          <w:numId w:val="20"/>
        </w:numPr>
        <w:ind w:left="0"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Краткое описание целей предлагаемого правового регулирования: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Цель предлагаемого правового регулирования – необходимость обеспечения устойчивого развития территорий и достижения нормативов минимальной обеспеченности населения площадью торговых объектов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1.6. Краткое описание содержания предлагаемого правового регулирования: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  <w:lang w:eastAsia="ru-RU"/>
        </w:rPr>
        <w:t xml:space="preserve">Для размещения и упорядочения нестационарной </w:t>
      </w:r>
      <w:r>
        <w:rPr>
          <w:rFonts w:ascii="FreeSerif" w:hAnsi="FreeSerif" w:eastAsia="FreeSerif" w:cs="FreeSerif"/>
          <w:sz w:val="24"/>
          <w:szCs w:val="24"/>
          <w:lang w:eastAsia="ru-RU"/>
        </w:rPr>
        <w:t xml:space="preserve">торговли  и</w:t>
      </w:r>
      <w:r>
        <w:rPr>
          <w:rFonts w:ascii="FreeSerif" w:hAnsi="FreeSerif" w:eastAsia="FreeSerif" w:cs="FreeSerif"/>
          <w:sz w:val="24"/>
          <w:szCs w:val="24"/>
          <w:lang w:eastAsia="ru-RU"/>
        </w:rPr>
        <w:t xml:space="preserve"> предупреждения несанкционированной торговли.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  <w:outlineLvl w:val="0"/>
      </w:pPr>
      <w:r>
        <w:rPr>
          <w:rFonts w:ascii="FreeSerif" w:hAnsi="FreeSerif" w:eastAsia="FreeSerif" w:cs="FreeSerif"/>
          <w:sz w:val="24"/>
          <w:szCs w:val="24"/>
          <w:lang w:eastAsia="ru-RU"/>
        </w:rPr>
        <w:t xml:space="preserve">1.6.1.  Степень регулирующего воздействия -  высокая.   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</w:r>
      <w:r>
        <w:rPr>
          <w:rFonts w:ascii="FreeSerif" w:hAnsi="FreeSerif" w:cs="FreeSerif"/>
          <w:color w:val="000000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</w:t>
      </w:r>
      <w:r>
        <w:rPr>
          <w:rFonts w:ascii="FreeSerif" w:hAnsi="FreeSerif" w:eastAsia="FreeSerif" w:cs="FreeSerif"/>
          <w:sz w:val="24"/>
          <w:szCs w:val="24"/>
        </w:rPr>
        <w:t xml:space="preserve">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обязательные требования отсутствуют.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1.7. Контактная информация исполнителя в регулирующем органе: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Ф.И.О. – Романько Елена Дмитриевна.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sz w:val="24"/>
          <w:szCs w:val="24"/>
        </w:rPr>
      </w:pPr>
      <w:r>
        <w:rPr>
          <w:rFonts w:ascii="FreeSerif" w:hAnsi="FreeSerif" w:cs="FreeSerif"/>
          <w:color w:val="000000" w:themeColor="text1"/>
          <w:sz w:val="24"/>
          <w:szCs w:val="24"/>
        </w:rPr>
        <w:t xml:space="preserve">Должность: заведующий сектором потребительской сферы отдела </w:t>
      </w:r>
      <w:r>
        <w:rPr>
          <w:rFonts w:ascii="FreeSerif" w:hAnsi="FreeSerif" w:cs="FreeSerif"/>
          <w:color w:val="000000" w:themeColor="text1"/>
          <w:sz w:val="24"/>
          <w:szCs w:val="24"/>
        </w:rPr>
        <w:t xml:space="preserve">экономики  администрации</w:t>
      </w:r>
      <w:r>
        <w:rPr>
          <w:rFonts w:ascii="FreeSerif" w:hAnsi="FreeSerif" w:cs="FreeSerif"/>
          <w:color w:val="000000" w:themeColor="text1"/>
          <w:sz w:val="24"/>
          <w:szCs w:val="24"/>
        </w:rPr>
        <w:t xml:space="preserve">  Ленинградского муниципального округа. </w:t>
      </w:r>
      <w:r>
        <w:rPr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color w:val="000000" w:themeColor="text1"/>
          <w:sz w:val="24"/>
          <w:szCs w:val="24"/>
        </w:rPr>
      </w:pPr>
      <w:r>
        <w:rPr>
          <w:rFonts w:ascii="FreeSerif" w:hAnsi="FreeSerif" w:cs="FreeSerif"/>
          <w:color w:val="000000" w:themeColor="text1"/>
          <w:sz w:val="24"/>
          <w:szCs w:val="24"/>
        </w:rPr>
        <w:t xml:space="preserve">тел.: (886145) 3-87-82, адрес электронной почты: torglenkub@mail.ru.</w:t>
      </w:r>
      <w:r>
        <w:rPr>
          <w:rFonts w:ascii="FreeSerif" w:hAnsi="FreeSerif" w:cs="FreeSerif"/>
          <w:color w:val="000000" w:themeColor="text1"/>
          <w:sz w:val="24"/>
          <w:szCs w:val="24"/>
        </w:rPr>
      </w:r>
    </w:p>
    <w:p>
      <w:pPr>
        <w:spacing w:after="0" w:line="240" w:lineRule="auto"/>
        <w:widowControl w:val="off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 Описание проблемы, на решение которой направлено предлагаемое правовое регулирование: </w:t>
      </w:r>
      <w:r>
        <w:rPr>
          <w:rFonts w:ascii="FreeSerif" w:hAnsi="FreeSerif" w:eastAsia="FreeSerif" w:cs="FreeSerif"/>
          <w:sz w:val="24"/>
          <w:szCs w:val="24"/>
        </w:rPr>
        <w:tab/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eastAsia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Отсутствие возможности размещения новых нестационарных торговых объектов.</w:t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ab/>
        <w:t xml:space="preserve">2.1. Формулировка проблемы: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Отсутствие возможности размещения новых нестационарных торговых объектов на земельных участках, находящихся в муниципальной собственности либо государственная собственность на которые не разграничена.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МНПА разработан в цел</w:t>
      </w:r>
      <w:r>
        <w:rPr>
          <w:rFonts w:ascii="FreeSerif" w:hAnsi="FreeSerif" w:eastAsia="FreeSerif" w:cs="FreeSerif"/>
          <w:sz w:val="24"/>
          <w:szCs w:val="24"/>
        </w:rPr>
        <w:t xml:space="preserve">ях увеличения количества нестационарных торговых объектов,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ind w:firstLine="851"/>
        <w:jc w:val="both"/>
        <w:spacing w:after="0" w:line="240" w:lineRule="auto"/>
        <w:rPr>
          <w:rFonts w:ascii="FreeSerif" w:hAnsi="FreeSerif" w:cs="FreeSerif"/>
          <w:sz w:val="24"/>
          <w:szCs w:val="24"/>
        </w:rPr>
        <w:outlineLvl w:val="0"/>
      </w:pPr>
      <w:r>
        <w:rPr>
          <w:rFonts w:ascii="FreeSerif" w:hAnsi="FreeSerif" w:eastAsia="FreeSerif" w:cs="FreeSerif"/>
          <w:sz w:val="24"/>
          <w:szCs w:val="24"/>
        </w:rPr>
        <w:t xml:space="preserve">2.3. Субъекты общественных отношений, заинтересованные в устранении проблемы, их количественная оценка:</w:t>
      </w:r>
      <w:r>
        <w:rPr>
          <w:rFonts w:ascii="FreeSerif" w:hAnsi="FreeSerif" w:eastAsia="FreeSerif" w:cs="FreeSerif"/>
          <w:sz w:val="24"/>
          <w:szCs w:val="24"/>
          <w:lang w:eastAsia="ru-RU"/>
        </w:rPr>
        <w:t xml:space="preserve"> юридические лица, индивидуальные предприниматели </w:t>
      </w:r>
      <w:r>
        <w:rPr>
          <w:rFonts w:ascii="FreeSerif" w:hAnsi="FreeSerif" w:eastAsia="FreeSerif" w:cs="FreeSerif"/>
          <w:sz w:val="24"/>
          <w:szCs w:val="24"/>
        </w:rPr>
        <w:t xml:space="preserve">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r>
        <w:rPr>
          <w:rFonts w:ascii="FreeSerif" w:hAnsi="FreeSerif" w:eastAsia="FreeSerif" w:cs="FreeSerif"/>
          <w:sz w:val="24"/>
          <w:szCs w:val="24"/>
        </w:rPr>
        <w:t xml:space="preserve">самозанятые</w:t>
      </w:r>
      <w:r>
        <w:rPr>
          <w:rFonts w:ascii="FreeSerif" w:hAnsi="FreeSerif" w:eastAsia="FreeSerif" w:cs="FreeSerif"/>
          <w:sz w:val="24"/>
          <w:szCs w:val="24"/>
        </w:rPr>
        <w:t xml:space="preserve">) </w:t>
      </w:r>
      <w:r>
        <w:rPr>
          <w:rFonts w:ascii="FreeSerif" w:hAnsi="FreeSerif" w:eastAsia="FreeSerif" w:cs="FreeSerif"/>
          <w:sz w:val="24"/>
          <w:szCs w:val="24"/>
          <w:lang w:eastAsia="ru-RU"/>
        </w:rPr>
        <w:t xml:space="preserve">желающие осуществлять торговую деятельность в нестационарных объектах. 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ab/>
        <w:t xml:space="preserve">Количественная оц</w:t>
      </w:r>
      <w:r>
        <w:rPr>
          <w:rFonts w:ascii="FreeSerif" w:hAnsi="FreeSerif" w:eastAsia="FreeSerif" w:cs="FreeSerif"/>
          <w:sz w:val="24"/>
          <w:szCs w:val="24"/>
        </w:rPr>
        <w:t xml:space="preserve">енка участников – по состоянию на 1 апреля 2025 г. на территории Ленинградского муниципального округа, согласно утвержденной схемы размещения нестационарных торговых объектов на землях, находящихся в муниципальной собственности, запланировано к размещению </w:t>
      </w:r>
      <w:r>
        <w:rPr>
          <w:rFonts w:ascii="FreeSerif" w:hAnsi="FreeSerif" w:eastAsia="FreeSerif" w:cs="FreeSerif"/>
          <w:sz w:val="24"/>
          <w:szCs w:val="24"/>
        </w:rPr>
        <w:t xml:space="preserve">59  объектов</w:t>
      </w:r>
      <w:r>
        <w:rPr>
          <w:rFonts w:ascii="FreeSerif" w:hAnsi="FreeSerif" w:eastAsia="FreeSerif" w:cs="FreeSerif"/>
          <w:sz w:val="24"/>
          <w:szCs w:val="24"/>
        </w:rPr>
        <w:t xml:space="preserve"> нестационарной торговли.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2.4. Характеристика негативных эффектов, возникающих в связи с наличием проблемы, их количественная оценка: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2.5. Причины возникновения проблемы и факторы, поддерживающие ее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существование: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муниципальный округ: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соответствии с частью</w:t>
      </w:r>
      <w:r>
        <w:rPr>
          <w:rFonts w:ascii="FreeSerif" w:hAnsi="FreeSerif" w:eastAsia="FreeSerif" w:cs="FreeSerif"/>
          <w:sz w:val="24"/>
          <w:szCs w:val="24"/>
        </w:rPr>
        <w:t xml:space="preserve"> 3 статьи 10 Федерального закона от 28 декабря 2009 г. № 381-ФЗ «Об основах государственного регулирования торговой деятельности в Российской Федерации», в связи с нарушением Закона Краснодарского края № 608-КЗ «Об административных правонарушениях» статья </w:t>
      </w:r>
      <w:r>
        <w:rPr>
          <w:rFonts w:ascii="FreeSerif" w:hAnsi="FreeSerif" w:eastAsia="FreeSerif" w:cs="FreeSerif"/>
          <w:sz w:val="24"/>
          <w:szCs w:val="24"/>
        </w:rPr>
        <w:t xml:space="preserve">3.8  решение</w:t>
      </w:r>
      <w:r>
        <w:rPr>
          <w:rFonts w:ascii="FreeSerif" w:hAnsi="FreeSerif" w:eastAsia="FreeSerif" w:cs="FreeSerif"/>
          <w:sz w:val="24"/>
          <w:szCs w:val="24"/>
        </w:rPr>
        <w:t xml:space="preserve"> проблемы невозможно без вмешательства  местного самоуправления Ленинградского муниципального округа.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других муниципальных образованиях Краснодарского края данная проблема решается аналогичным образом.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53"/>
        <w:spacing w:before="0" w:beforeAutospacing="0" w:after="0" w:afterAutospacing="0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t xml:space="preserve">         2.8. Источники данных: </w:t>
      </w:r>
      <w:r>
        <w:rPr>
          <w:rFonts w:ascii="FreeSerif" w:hAnsi="FreeSerif" w:cs="FreeSerif"/>
        </w:rPr>
      </w:r>
    </w:p>
    <w:p>
      <w:pPr>
        <w:pStyle w:val="953"/>
        <w:spacing w:before="0" w:beforeAutospacing="0" w:after="0" w:afterAutospacing="0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tab/>
        <w:t xml:space="preserve">Информационно-правовая система Консультант Плюс, интернет.</w:t>
      </w:r>
      <w:r>
        <w:rPr>
          <w:rFonts w:ascii="FreeSerif" w:hAnsi="FreeSerif" w:cs="FreeSerif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2.9. Иная информация о проблеме: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отсутствует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  <w:outlineLvl w:val="2"/>
      </w:pPr>
      <w:r/>
      <w:bookmarkStart w:id="1" w:name="Par267"/>
      <w:r/>
      <w:bookmarkEnd w:id="1"/>
      <w:r/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6"/>
        <w:ind w:firstLine="567"/>
        <w:jc w:val="both"/>
        <w:rPr>
          <w:rFonts w:ascii="FreeSerif" w:hAnsi="FreeSerif" w:cs="FreeSerif"/>
          <w:sz w:val="24"/>
          <w:szCs w:val="24"/>
        </w:rPr>
        <w:outlineLvl w:val="2"/>
      </w:pPr>
      <w:r>
        <w:rPr>
          <w:rFonts w:ascii="FreeSerif" w:hAnsi="FreeSerif" w:eastAsia="FreeSerif" w:cs="FreeSerif"/>
          <w:sz w:val="24"/>
          <w:szCs w:val="24"/>
        </w:rPr>
        <w:t xml:space="preserve">3. Определение целей предлагаемого правового регулирования и индикаторов для оценки их достижения</w:t>
      </w:r>
      <w:r>
        <w:rPr>
          <w:rFonts w:ascii="FreeSerif" w:hAnsi="FreeSerif" w:cs="FreeSerif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3.1. Цели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/>
            <w:bookmarkStart w:id="2" w:name="Par270"/>
            <w:r/>
            <w:bookmarkEnd w:id="2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3.2. Сроки достижения целей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3.3. Периодичность мониторинга достижения целей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количества нестационарных торговых объектов, необходимость обеспечения устойчивого развития территорий и достижения нормативов минимальной обеспеченности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населения площадью торговых объектов на территории Ленинградского муниципального округа,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округа.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 даты вступления в силу настоящего постановления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926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 мониторинге достижения цели не нуждается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</w:tbl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3.4.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Федерации»;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Федеральный закон от 28 декабря 2009 г. № 381-ФЗ «Об основах государственного регулирования торговой деятельности в Российской Федерации»;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поста</w:t>
      </w:r>
      <w:r>
        <w:rPr>
          <w:rFonts w:ascii="FreeSerif" w:hAnsi="FreeSerif" w:eastAsia="FreeSerif" w:cs="FreeSerif"/>
          <w:sz w:val="24"/>
          <w:szCs w:val="24"/>
        </w:rPr>
        <w:t xml:space="preserve">новление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>
        <w:rPr>
          <w:rFonts w:ascii="FreeSerif" w:hAnsi="FreeSerif" w:cs="FreeSerif"/>
          <w:sz w:val="24"/>
          <w:szCs w:val="24"/>
        </w:rPr>
        <w:t xml:space="preserve">.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1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3.5. Цели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/>
            <w:bookmarkStart w:id="3" w:name="Par290"/>
            <w:r/>
            <w:bookmarkEnd w:id="3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3.6. Индикаторы достижения целей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3.7. Единица измерения индикаторов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/>
            <w:bookmarkStart w:id="4" w:name="Par292"/>
            <w:r/>
            <w:bookmarkEnd w:id="4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3.8. Целевые значения индикаторов по годам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1" w:type="dxa"/>
            <w:vAlign w:val="center"/>
            <w:textDirection w:val="lrTb"/>
            <w:noWrap w:val="false"/>
          </w:tcPr>
          <w:p>
            <w:pPr>
              <w:ind w:firstLine="82"/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количества нестационарных торговых объектов, необходимость обеспечения устойчивого развития территорий и достижения нормативов минимальной обеспеченност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 населения площадью торговых объектов на территории Ленинградского муниципального округа,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78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  <w:outlineLvl w:val="0"/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Принятие постановления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администрации муниципального образования Ленинградский муниципальный округ «Об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разграничена»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Ленинградский муниципальный округ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5" w:type="dxa"/>
            <w:vAlign w:val="center"/>
            <w:textDirection w:val="lrTb"/>
            <w:noWrap w:val="false"/>
          </w:tcPr>
          <w:p>
            <w:pPr>
              <w:pStyle w:val="926"/>
              <w:jc w:val="both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</w:tbl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3.9.  Методы,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FreeSerif" w:hAnsi="FreeSerif" w:cs="FreeSerif"/>
          <w:sz w:val="24"/>
          <w:szCs w:val="24"/>
        </w:rPr>
        <w:outlineLvl w:val="0"/>
      </w:pPr>
      <w:r>
        <w:rPr>
          <w:rFonts w:ascii="FreeSerif" w:hAnsi="FreeSerif" w:eastAsia="FreeSerif" w:cs="FreeSerif"/>
          <w:sz w:val="24"/>
          <w:szCs w:val="24"/>
        </w:rPr>
        <w:t xml:space="preserve">Принятие постановления а</w:t>
      </w:r>
      <w:r>
        <w:rPr>
          <w:rFonts w:ascii="FreeSerif" w:hAnsi="FreeSerif" w:eastAsia="FreeSerif" w:cs="FreeSerif"/>
          <w:sz w:val="24"/>
          <w:szCs w:val="24"/>
        </w:rPr>
        <w:t xml:space="preserve">дминистрации муниципального образования Ленинградский муниципальный округ «Об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</w:r>
      <w:r>
        <w:rPr>
          <w:rFonts w:ascii="FreeSerif" w:hAnsi="FreeSerif" w:eastAsia="FreeSerif" w:cs="FreeSerif"/>
          <w:sz w:val="24"/>
          <w:szCs w:val="24"/>
        </w:rPr>
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разграничена» </w:t>
      </w:r>
      <w:r>
        <w:rPr>
          <w:rFonts w:ascii="FreeSerif" w:hAnsi="FreeSerif" w:cs="FreeSerif"/>
          <w:sz w:val="24"/>
          <w:szCs w:val="24"/>
        </w:rPr>
      </w:r>
    </w:p>
    <w:p>
      <w:pPr>
        <w:spacing w:after="0" w:line="240" w:lineRule="auto"/>
        <w:tabs>
          <w:tab w:val="left" w:pos="5340" w:leader="none"/>
        </w:tabs>
        <w:rPr>
          <w:rFonts w:ascii="FreeSerif" w:hAnsi="FreeSerif" w:cs="FreeSerif"/>
          <w:sz w:val="24"/>
          <w:szCs w:val="24"/>
        </w:rPr>
        <w:outlineLvl w:val="0"/>
      </w:pPr>
      <w:r>
        <w:rPr>
          <w:rFonts w:ascii="FreeSerif" w:hAnsi="FreeSerif" w:eastAsia="FreeSerif" w:cs="FreeSerif"/>
          <w:sz w:val="24"/>
          <w:szCs w:val="24"/>
        </w:rPr>
        <w:tab/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3.10. Оценка затрат на проведение мониторинга достижения целей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предлагаемого правового регулирования: дополнительные затраты не потребуются.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/>
      <w:bookmarkStart w:id="5" w:name="Par319"/>
      <w:r/>
      <w:bookmarkEnd w:id="5"/>
      <w:r/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>
        <w:rPr>
          <w:rFonts w:ascii="FreeSerif" w:hAnsi="FreeSerif" w:eastAsia="FreeSerif" w:cs="FreeSerif"/>
          <w:sz w:val="24"/>
          <w:szCs w:val="24"/>
        </w:rPr>
        <w:t xml:space="preserve">4. Качественная характеристика и оценка численности потенциальных адресатов предлагаемого правового регулирования (их групп):</w:t>
      </w:r>
      <w:r>
        <w:rPr>
          <w:rFonts w:ascii="FreeSerif" w:hAnsi="FreeSerif" w:cs="FreeSerif"/>
          <w:sz w:val="24"/>
          <w:szCs w:val="24"/>
        </w:rPr>
      </w:r>
    </w:p>
    <w:tbl>
      <w:tblPr>
        <w:tblW w:w="9639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/>
            <w:bookmarkStart w:id="6" w:name="Par321"/>
            <w:r/>
            <w:bookmarkEnd w:id="6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их качественных характеристик)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4.2. Количество участников группы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9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4.3. Источники данных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ind w:firstLine="82"/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  <w:outlineLvl w:val="0"/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самозанятые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 желающие осуществлять торговую деятельность в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нестационарных объектах.  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vAlign w:val="center"/>
            <w:textDirection w:val="lrTb"/>
            <w:noWrap w:val="false"/>
          </w:tcPr>
          <w:p>
            <w:pPr>
              <w:pStyle w:val="927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Не ограничено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9" w:type="dxa"/>
            <w:vAlign w:val="center"/>
            <w:textDirection w:val="lrTb"/>
            <w:noWrap w:val="false"/>
          </w:tcPr>
          <w:p>
            <w:pPr>
              <w:pStyle w:val="927"/>
              <w:ind w:firstLine="165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Данные органов местного самоуправления Ленинградского муниципального округа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926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/>
      <w:bookmarkStart w:id="7" w:name="Par334"/>
      <w:r/>
      <w:bookmarkEnd w:id="7"/>
      <w:r>
        <w:rPr>
          <w:rFonts w:ascii="FreeSerif" w:hAnsi="FreeSerif" w:eastAsia="FreeSerif" w:cs="FreeSerif"/>
          <w:sz w:val="24"/>
          <w:szCs w:val="24"/>
        </w:rPr>
        <w:t xml:space="preserve">5. Изменение функций (полномочий, обязанностей, прав) органов местного самоуправления Ленинградского муниципального округа, а также порядка их реализации в связи с введением предлагаемого правового регулирования:</w:t>
      </w:r>
      <w:r>
        <w:rPr>
          <w:rFonts w:ascii="FreeSerif" w:hAnsi="FreeSerif" w:cs="FreeSerif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985"/>
        <w:gridCol w:w="1638"/>
        <w:gridCol w:w="2473"/>
        <w:gridCol w:w="1723"/>
        <w:gridCol w:w="1757"/>
      </w:tblGrid>
      <w:tr>
        <w:tblPrEx/>
        <w:trPr>
          <w:trHeight w:val="2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/>
            <w:bookmarkStart w:id="8" w:name="Par336"/>
            <w:r/>
            <w:bookmarkEnd w:id="8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5.1. Наименование функции (полномочия, обязанности или права)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38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5.2. Характер функции (новая /изменяемая/отменяемая)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3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5.3.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Предполагае-мый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порядок реализации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3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5.4. Оценка изменения трудовых затрат (чел./час в год), изменения численности сотрудников (чел.)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5.5. Оценка изменения потребностей в других ресурсах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Заключение администрацией Ленинградского муниципального округа договора, необходимого для размещения нестационарных торговых объектов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38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новая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FreeSerif" w:hAnsi="FreeSerif" w:cs="FreeSerif"/>
                <w:sz w:val="24"/>
                <w:szCs w:val="24"/>
              </w:rPr>
              <w:outlineLvl w:val="0"/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Согласно утве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ржденному постановлению администрации Ленинградского муниципального округа «Об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разграничена»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3" w:type="dxa"/>
            <w:vAlign w:val="center"/>
            <w:textDirection w:val="lrTb"/>
            <w:noWrap w:val="false"/>
          </w:tcPr>
          <w:p>
            <w:pPr>
              <w:pStyle w:val="957"/>
              <w:jc w:val="center"/>
              <w:rPr>
                <w:rStyle w:val="958"/>
                <w:rFonts w:ascii="FreeSerif" w:hAnsi="FreeSerif" w:cs="FreeSerif"/>
                <w:sz w:val="24"/>
                <w:szCs w:val="24"/>
              </w:rPr>
            </w:pPr>
            <w:r>
              <w:rPr>
                <w:rStyle w:val="958"/>
                <w:rFonts w:ascii="FreeSerif" w:hAnsi="FreeSerif" w:eastAsia="FreeSerif" w:cs="FreeSerif"/>
                <w:sz w:val="24"/>
                <w:szCs w:val="24"/>
              </w:rPr>
              <w:t xml:space="preserve">В пределах</w:t>
            </w:r>
            <w:r>
              <w:rPr>
                <w:rStyle w:val="958"/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957"/>
              <w:jc w:val="center"/>
              <w:rPr>
                <w:rStyle w:val="958"/>
                <w:rFonts w:ascii="FreeSerif" w:hAnsi="FreeSerif" w:cs="FreeSerif"/>
                <w:sz w:val="24"/>
                <w:szCs w:val="24"/>
              </w:rPr>
            </w:pPr>
            <w:r>
              <w:rPr>
                <w:rStyle w:val="958"/>
                <w:rFonts w:ascii="FreeSerif" w:hAnsi="FreeSerif" w:eastAsia="FreeSerif" w:cs="FreeSerif"/>
                <w:sz w:val="24"/>
                <w:szCs w:val="24"/>
              </w:rPr>
              <w:t xml:space="preserve"> штатной</w:t>
            </w:r>
            <w:r>
              <w:rPr>
                <w:rStyle w:val="958"/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957"/>
              <w:jc w:val="center"/>
              <w:rPr>
                <w:rStyle w:val="958"/>
                <w:rFonts w:ascii="FreeSerif" w:hAnsi="FreeSerif" w:cs="FreeSerif"/>
                <w:sz w:val="24"/>
                <w:szCs w:val="24"/>
              </w:rPr>
            </w:pPr>
            <w:r>
              <w:rPr>
                <w:rStyle w:val="958"/>
                <w:rFonts w:ascii="FreeSerif" w:hAnsi="FreeSerif" w:eastAsia="FreeSerif" w:cs="FreeSerif"/>
                <w:sz w:val="24"/>
                <w:szCs w:val="24"/>
              </w:rPr>
              <w:t xml:space="preserve">численности </w:t>
            </w:r>
            <w:r>
              <w:rPr>
                <w:rStyle w:val="958"/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957"/>
              <w:jc w:val="center"/>
              <w:rPr>
                <w:rStyle w:val="958"/>
                <w:rFonts w:ascii="FreeSerif" w:hAnsi="FreeSerif" w:cs="FreeSerif"/>
                <w:sz w:val="24"/>
                <w:szCs w:val="24"/>
              </w:rPr>
            </w:pPr>
            <w:r>
              <w:rPr>
                <w:rStyle w:val="958"/>
                <w:rFonts w:ascii="FreeSerif" w:hAnsi="FreeSerif" w:eastAsia="FreeSerif" w:cs="FreeSerif"/>
                <w:sz w:val="24"/>
                <w:szCs w:val="24"/>
              </w:rPr>
              <w:t xml:space="preserve">сотрудников </w:t>
            </w:r>
            <w:r>
              <w:rPr>
                <w:rStyle w:val="958"/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  <w:highlight w:val="yellow"/>
        </w:rPr>
        <w:outlineLvl w:val="2"/>
      </w:pPr>
      <w:r/>
      <w:bookmarkStart w:id="9" w:name="Par364"/>
      <w:r/>
      <w:bookmarkEnd w:id="9"/>
      <w:r/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>
        <w:rPr>
          <w:rFonts w:ascii="FreeSerif" w:hAnsi="FreeSerif" w:eastAsia="FreeSerif" w:cs="FreeSerif"/>
          <w:sz w:val="24"/>
          <w:szCs w:val="24"/>
        </w:rPr>
        <w:t xml:space="preserve">6. Оценка дополнительных расходов (доходов) районного бюджета (бюджета администрации Ленинградского муниципального округа), связанных с введением предлагаемого правового регулирования: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>
        <w:rPr>
          <w:rFonts w:ascii="FreeSerif" w:hAnsi="FreeSerif" w:eastAsia="FreeSerif" w:cs="FreeSerif"/>
          <w:sz w:val="24"/>
          <w:szCs w:val="24"/>
        </w:rPr>
        <w:t xml:space="preserve">До</w:t>
      </w:r>
      <w:r>
        <w:rPr>
          <w:rFonts w:ascii="FreeSerif" w:hAnsi="FreeSerif" w:eastAsia="FreeSerif" w:cs="FreeSerif"/>
          <w:sz w:val="24"/>
          <w:szCs w:val="24"/>
        </w:rPr>
        <w:t xml:space="preserve">полнительными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являются установление рыночной стоимости размещения нестационарного торгового объекта</w:t>
      </w:r>
      <w:r>
        <w:rPr>
          <w:rFonts w:ascii="FreeSerif" w:hAnsi="FreeSerif" w:eastAsia="FreeSerif" w:cs="FreeSerif"/>
          <w:sz w:val="24"/>
          <w:szCs w:val="24"/>
        </w:rPr>
        <w:t xml:space="preserve"> (177000 руб., предполагаемая стоимость рыночной оценки места размещения </w:t>
      </w:r>
      <w:r>
        <w:rPr>
          <w:rFonts w:ascii="FreeSerif" w:hAnsi="FreeSerif" w:eastAsia="FreeSerif" w:cs="FreeSerif"/>
          <w:sz w:val="24"/>
          <w:szCs w:val="24"/>
        </w:rPr>
        <w:t xml:space="preserve">НТО 3000 руб</w:t>
      </w:r>
      <w:r>
        <w:rPr>
          <w:rFonts w:ascii="FreeSerif" w:hAnsi="FreeSerif" w:eastAsia="FreeSerif" w:cs="FreeSerif"/>
          <w:sz w:val="24"/>
          <w:szCs w:val="24"/>
        </w:rPr>
        <w:t xml:space="preserve">.</w:t>
      </w:r>
      <w:r>
        <w:rPr>
          <w:rFonts w:ascii="FreeSerif" w:hAnsi="FreeSerif" w:eastAsia="FreeSerif" w:cs="FreeSerif"/>
          <w:sz w:val="24"/>
          <w:szCs w:val="24"/>
        </w:rPr>
        <w:t xml:space="preserve">, </w:t>
      </w:r>
      <w:r>
        <w:rPr>
          <w:rFonts w:ascii="FreeSerif" w:hAnsi="FreeSerif" w:eastAsia="FreeSerif" w:cs="FreeSerif"/>
          <w:sz w:val="24"/>
          <w:szCs w:val="24"/>
        </w:rPr>
        <w:t xml:space="preserve">запланировано к размещению 59 объектов нестационарной торговли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>
        <w:rPr>
          <w:rFonts w:ascii="FreeSerif" w:hAnsi="FreeSerif" w:eastAsia="FreeSerif" w:cs="FreeSerif"/>
          <w:sz w:val="24"/>
          <w:szCs w:val="24"/>
        </w:rPr>
        <w:t xml:space="preserve">Дополнительным доходом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являться арендная плата за размещение нестационарного торгового объекта.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6.1. Другие сведения о дополнительных расходах (доходах) районного бюджета (бюджета администрации Ленинградского муниципального округа), возникающих в связи с введением предлагаемого правового регулирования отсутствуют.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6.2. Источники данных: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      Отсутствуют.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/>
      <w:bookmarkStart w:id="10" w:name="Par400"/>
      <w:r/>
      <w:bookmarkEnd w:id="10"/>
      <w:r>
        <w:rPr>
          <w:rFonts w:ascii="FreeSerif" w:hAnsi="FreeSerif" w:eastAsia="FreeSerif" w:cs="FreeSerif"/>
          <w:sz w:val="24"/>
          <w:szCs w:val="24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  <w:r>
        <w:rPr>
          <w:rFonts w:ascii="FreeSerif" w:hAnsi="FreeSerif" w:cs="FreeSerif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38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tooltip="Ссылка на текущий документ" w:anchor="Par321" w:history="1">
              <w:r>
                <w:rPr>
                  <w:rFonts w:ascii="FreeSerif" w:hAnsi="FreeSerif" w:eastAsia="FreeSerif" w:cs="FreeSerif"/>
                  <w:sz w:val="24"/>
                  <w:szCs w:val="24"/>
                </w:rPr>
                <w:t xml:space="preserve">подпунктом 4.1 пункта 4</w:t>
              </w:r>
            </w:hyperlink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настоящего сводного отчета)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8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4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7.3. Описание расходов и возможных доходов, связанных с введением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7.4. Количественная оценка, млн. рублей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38" w:type="dxa"/>
            <w:textDirection w:val="lrTb"/>
            <w:noWrap w:val="false"/>
          </w:tcPr>
          <w:p>
            <w:pPr>
              <w:pStyle w:val="951"/>
              <w:ind w:firstLine="82"/>
              <w:jc w:val="both"/>
              <w:spacing w:after="0" w:line="240" w:lineRule="auto"/>
              <w:shd w:val="clear" w:color="auto" w:fill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самозанятые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, желающие осуществлять торговую деятельность в нестационарных объектах. 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8" w:type="dxa"/>
            <w:vAlign w:val="center"/>
            <w:textDirection w:val="lrTb"/>
            <w:noWrap w:val="false"/>
          </w:tcPr>
          <w:p>
            <w:pPr>
              <w:pStyle w:val="951"/>
              <w:ind w:firstLine="82"/>
              <w:jc w:val="both"/>
              <w:spacing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Отсутствуют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4" w:type="dxa"/>
            <w:textDirection w:val="lrTb"/>
            <w:noWrap w:val="false"/>
          </w:tcPr>
          <w:p>
            <w:pPr>
              <w:pStyle w:val="926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Приобретение усиленной ЭЦП – 5400 руб.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pStyle w:val="92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Доп. 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асходы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бюджета МО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 предоставление рыночной оценки по каждому нестационарному торговому объекту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177000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(3000 х59)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.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eastAsia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0,0054</w:t>
            </w:r>
            <w:bookmarkStart w:id="11" w:name="_GoBack"/>
            <w:r/>
            <w:bookmarkEnd w:id="11"/>
            <w:r/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0,177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7.5.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56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7.6. Источники данных: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отсутствуют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/>
      <w:bookmarkStart w:id="12" w:name="Par429"/>
      <w:r/>
      <w:bookmarkEnd w:id="12"/>
      <w:r>
        <w:rPr>
          <w:rFonts w:ascii="FreeSerif" w:hAnsi="FreeSerif" w:eastAsia="FreeSerif" w:cs="FreeSerif"/>
          <w:sz w:val="24"/>
          <w:szCs w:val="24"/>
        </w:rPr>
        <w:t xml:space="preserve">8. Оценка рисков неблагоприятных последствий применения предлагаемого правового регулирования: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8.1. Виды рисков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79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8.2. Оценка вероятности наступления неблагоприятных последствий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44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8.3. Методы контроля рисков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8.4. Степень контроля рисков (полный/частичный/отсутствует)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79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ab/>
        <w:t xml:space="preserve">8.5. Источники данных: отсутствуют</w:t>
      </w:r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/>
      <w:bookmarkStart w:id="13" w:name="Par447"/>
      <w:r/>
      <w:bookmarkEnd w:id="13"/>
      <w:r/>
      <w:r>
        <w:rPr>
          <w:rFonts w:ascii="FreeSerif" w:hAnsi="FreeSerif" w:cs="FreeSerif"/>
          <w:sz w:val="24"/>
          <w:szCs w:val="24"/>
        </w:rPr>
      </w:r>
    </w:p>
    <w:p>
      <w:pPr>
        <w:pStyle w:val="926"/>
        <w:ind w:firstLine="540"/>
        <w:jc w:val="both"/>
        <w:rPr>
          <w:rFonts w:ascii="FreeSerif" w:hAnsi="FreeSerif" w:cs="FreeSerif"/>
          <w:sz w:val="24"/>
          <w:szCs w:val="24"/>
        </w:rPr>
        <w:outlineLvl w:val="2"/>
      </w:pPr>
      <w:r>
        <w:rPr>
          <w:rFonts w:ascii="FreeSerif" w:hAnsi="FreeSerif" w:eastAsia="FreeSerif" w:cs="FreeSerif"/>
          <w:sz w:val="24"/>
          <w:szCs w:val="24"/>
        </w:rPr>
        <w:t xml:space="preserve">9. Сравнение возможных вариантов решения проблемы:</w:t>
      </w:r>
      <w:r>
        <w:rPr>
          <w:rFonts w:ascii="FreeSerif" w:hAnsi="FreeSerif" w:cs="FreeSerif"/>
          <w:sz w:val="24"/>
          <w:szCs w:val="24"/>
        </w:rPr>
      </w:r>
    </w:p>
    <w:tbl>
      <w:tblPr>
        <w:tblW w:w="9781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3686"/>
        <w:gridCol w:w="3480"/>
        <w:gridCol w:w="261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vAlign w:val="center"/>
            <w:textDirection w:val="lrTb"/>
            <w:noWrap w:val="false"/>
          </w:tcPr>
          <w:p>
            <w:pPr>
              <w:pStyle w:val="926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Вариант 1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vAlign w:val="center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Вариант 2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2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textDirection w:val="lrTb"/>
            <w:noWrap w:val="false"/>
          </w:tcPr>
          <w:p>
            <w:pPr>
              <w:pStyle w:val="92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9.1. Содержание варианта решения проблемы: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FreeSerif" w:hAnsi="FreeSerif" w:cs="FreeSerif"/>
                <w:sz w:val="24"/>
                <w:szCs w:val="24"/>
              </w:rPr>
              <w:outlineLvl w:val="0"/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Принятие проект постановления администрации муници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пального образования Ленинградский муниципальный округ Краснодарского края «Об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разграничена»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Принятие муниципального нормативного правового акта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Непринятие муниципального нормативного правового акта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самозанятые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, желающие осуществлять торговую деятельность в нестационарных объектах. 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927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ar-SA"/>
              </w:rPr>
              <w:t xml:space="preserve">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оличественная оценка участников - по состоянию на 1 апреля 2025 г. на территории Ленинградского округа запланировано к размещению 59 объекта нестационарной торговли.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 w:themeFill="background1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ru-RU"/>
              </w:rPr>
              <w:t xml:space="preserve">На территории округа размещено 22 нестационарных торговых объекта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Расходы на предоставление рыночной оценки по каждому нестационарному торговому объекту.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9.4. Оценка расходов (доходов) районного бюджета (бюджета администрации Ленинградского муниципального округа), связанных с введением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textDirection w:val="lrTb"/>
            <w:noWrap w:val="false"/>
          </w:tcPr>
          <w:p>
            <w:pPr>
              <w:pStyle w:val="926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9.5. Оценка возможности дости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жения заявленных целей регулирования (</w:t>
            </w:r>
            <w:hyperlink w:tooltip="Ссылка на текущий документ" w:anchor="Par267" w:history="1">
              <w:r>
                <w:rPr>
                  <w:rFonts w:ascii="FreeSerif" w:hAnsi="FreeSerif" w:eastAsia="FreeSerif" w:cs="FreeSerif"/>
                  <w:sz w:val="24"/>
                  <w:szCs w:val="24"/>
                </w:rPr>
                <w:t xml:space="preserve">пункт 3</w:t>
              </w:r>
            </w:hyperlink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Предполагаемая цель будет достигнута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Предполагаемая цель не будет достигнута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86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9.6. Оценка рисков неблагоприятных последствий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80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15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927"/>
        <w:ind w:firstLine="708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9.7. Обоснование выбора предпочтительного варианта решения выявленной проблемы: 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 МНПА в целях увеличения количества н</w:t>
      </w:r>
      <w:r>
        <w:rPr>
          <w:rFonts w:ascii="FreeSerif" w:hAnsi="FreeSerif" w:eastAsia="FreeSerif" w:cs="FreeSerif"/>
          <w:sz w:val="24"/>
          <w:szCs w:val="24"/>
        </w:rPr>
        <w:t xml:space="preserve">естационарных торговых объектов,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округа, обеспечения равных возмо</w:t>
      </w:r>
      <w:r>
        <w:rPr>
          <w:rFonts w:ascii="FreeSerif" w:hAnsi="FreeSerif" w:eastAsia="FreeSerif" w:cs="FreeSerif"/>
          <w:sz w:val="24"/>
          <w:szCs w:val="24"/>
        </w:rPr>
        <w:t xml:space="preserve">жностей для реализации прав хозяйствующих субъектов на осуществление торговой деятельности на территории Ленинградского муниципального округа. Выявленная проблема может быть решена исключительно посредством введения предполагаемого правового регулирования.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  <w:highlight w:val="yellow"/>
        </w:rPr>
      </w:pPr>
      <w:r>
        <w:rPr>
          <w:rFonts w:ascii="FreeSerif" w:hAnsi="FreeSerif" w:cs="FreeSerif"/>
          <w:sz w:val="24"/>
          <w:szCs w:val="24"/>
          <w:highlight w:val="yellow"/>
        </w:rPr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9.8. Детальное описание предлагаемого варианта решения проблемы: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FreeSerif" w:hAnsi="FreeSerif" w:cs="FreeSerif"/>
          <w:sz w:val="24"/>
          <w:szCs w:val="24"/>
        </w:rPr>
        <w:outlineLvl w:val="0"/>
      </w:pPr>
      <w:r>
        <w:rPr>
          <w:rFonts w:ascii="FreeSerif" w:hAnsi="FreeSerif" w:eastAsia="FreeSerif" w:cs="FreeSerif"/>
          <w:sz w:val="24"/>
          <w:szCs w:val="24"/>
        </w:rPr>
        <w:t xml:space="preserve">Утверждение постановления администрации муниципа</w:t>
      </w:r>
      <w:r>
        <w:rPr>
          <w:rFonts w:ascii="FreeSerif" w:hAnsi="FreeSerif" w:eastAsia="FreeSerif" w:cs="FreeSerif"/>
          <w:sz w:val="24"/>
          <w:szCs w:val="24"/>
        </w:rPr>
        <w:t xml:space="preserve">льного образования Ленинградский муниципальный округ Краснодарского края  «Об утверждении Положения о порядке организации и проведения торгов (в форме электронного аукциона)  на право заключения договора  на размещение нестационарных торговых объектов</w:t>
      </w:r>
      <w:r>
        <w:rPr>
          <w:rFonts w:ascii="FreeSerif" w:hAnsi="FreeSerif" w:eastAsia="FreeSerif" w:cs="FreeSerif"/>
          <w:sz w:val="24"/>
          <w:szCs w:val="24"/>
        </w:rPr>
        <w:t xml:space="preserve"> на территории Ленинградского  муниципального округа в зданиях, строениях, сооружениях и на  земельных участках, находящихся в муниципальной собственности либо государственная собственность на которые не разграничена».</w:t>
      </w:r>
      <w:r>
        <w:rPr>
          <w:rFonts w:ascii="FreeSerif" w:hAnsi="FreeSerif" w:cs="Free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sz w:val="24"/>
          <w:szCs w:val="24"/>
          <w:highlight w:val="yellow"/>
        </w:rPr>
        <w:outlineLvl w:val="0"/>
      </w:pPr>
      <w:r>
        <w:rPr>
          <w:rFonts w:ascii="FreeSerif" w:hAnsi="FreeSerif" w:eastAsia="FreeSerif" w:cs="FreeSerif"/>
          <w:sz w:val="24"/>
          <w:szCs w:val="24"/>
          <w:highlight w:val="yellow"/>
        </w:rPr>
        <w:t xml:space="preserve"> </w:t>
      </w:r>
      <w:r>
        <w:rPr>
          <w:rFonts w:ascii="FreeSerif" w:hAnsi="FreeSerif" w:cs="FreeSerif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ab/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10.1. Предполагаемая дата вступления в силу муниципального нормативного правового акта: апрель 2025 г.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нет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нет.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ind w:firstLine="709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10.</w:t>
      </w:r>
      <w:r>
        <w:rPr>
          <w:rFonts w:ascii="FreeSerif" w:hAnsi="FreeSerif" w:eastAsia="FreeSerif" w:cs="FreeSerif"/>
          <w:sz w:val="24"/>
          <w:szCs w:val="24"/>
        </w:rPr>
        <w:t xml:space="preserve">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927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Исполняющий обязанности </w:t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начальника отдела</w:t>
      </w:r>
      <w:r>
        <w:rPr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экономики администрации                                                                                  Д.В. Андрющенко</w:t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mbria Math">
    <w:panose1 w:val="02000603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5004918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multiLevelType w:val="hybridMultilevel"/>
    <w:lvl w:ilvl="0">
      <w:start w:val="2018"/>
      <w:numFmt w:val="decimal"/>
      <w:isLgl w:val="false"/>
      <w:suff w:val="tab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1.%1."/>
      <w:legacy w:legacy="1" w:legacyIndent="461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4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2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1418" w:hanging="360"/>
      </w:pPr>
      <w:rPr>
        <w:rFonts w:ascii="FreeSerif" w:hAnsi="FreeSerif" w:eastAsia="FreeSerif" w:cs="Free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31"/>
  </w:num>
  <w:num w:numId="6">
    <w:abstractNumId w:val="10"/>
  </w:num>
  <w:num w:numId="7">
    <w:abstractNumId w:val="15"/>
  </w:num>
  <w:num w:numId="8">
    <w:abstractNumId w:val="25"/>
  </w:num>
  <w:num w:numId="9">
    <w:abstractNumId w:val="30"/>
  </w:num>
  <w:num w:numId="10">
    <w:abstractNumId w:val="24"/>
    <w:lvlOverride w:ilvl="0">
      <w:startOverride w:val="1"/>
    </w:lvlOverride>
  </w:num>
  <w:num w:numId="11">
    <w:abstractNumId w:val="2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"/>
  </w:num>
  <w:num w:numId="26">
    <w:abstractNumId w:val="19"/>
  </w:num>
  <w:num w:numId="27">
    <w:abstractNumId w:val="20"/>
  </w:num>
  <w:num w:numId="28">
    <w:abstractNumId w:val="13"/>
  </w:num>
  <w:num w:numId="29">
    <w:abstractNumId w:val="28"/>
  </w:num>
  <w:num w:numId="30">
    <w:abstractNumId w:val="32"/>
  </w:num>
  <w:num w:numId="31">
    <w:abstractNumId w:val="22"/>
  </w:num>
  <w:num w:numId="32">
    <w:abstractNumId w:val="8"/>
  </w:num>
  <w:num w:numId="33">
    <w:abstractNumId w:val="18"/>
  </w:num>
  <w:num w:numId="34">
    <w:abstractNumId w:val="5"/>
  </w:num>
  <w:num w:numId="35">
    <w:abstractNumId w:val="17"/>
  </w:num>
  <w:num w:numId="36">
    <w:abstractNumId w:val="26"/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60"/>
    <w:link w:val="752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60"/>
    <w:link w:val="774"/>
    <w:uiPriority w:val="11"/>
    <w:rPr>
      <w:sz w:val="24"/>
      <w:szCs w:val="24"/>
    </w:rPr>
  </w:style>
  <w:style w:type="character" w:styleId="39">
    <w:name w:val="Quote Char"/>
    <w:link w:val="776"/>
    <w:uiPriority w:val="29"/>
    <w:rPr>
      <w:i/>
    </w:rPr>
  </w:style>
  <w:style w:type="character" w:styleId="41">
    <w:name w:val="Intense Quote Char"/>
    <w:link w:val="778"/>
    <w:uiPriority w:val="30"/>
    <w:rPr>
      <w:i/>
    </w:rPr>
  </w:style>
  <w:style w:type="character" w:styleId="47">
    <w:name w:val="Caption Char"/>
    <w:basedOn w:val="760"/>
    <w:link w:val="782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909"/>
    <w:uiPriority w:val="99"/>
    <w:rPr>
      <w:sz w:val="18"/>
    </w:rPr>
  </w:style>
  <w:style w:type="character" w:styleId="179">
    <w:name w:val="Endnote Text Char"/>
    <w:link w:val="912"/>
    <w:uiPriority w:val="99"/>
    <w:rPr>
      <w:sz w:val="20"/>
    </w:rPr>
  </w:style>
  <w:style w:type="paragraph" w:styleId="750" w:default="1">
    <w:name w:val="Normal"/>
    <w:qFormat/>
  </w:style>
  <w:style w:type="paragraph" w:styleId="751">
    <w:name w:val="Heading 1"/>
    <w:basedOn w:val="750"/>
    <w:next w:val="750"/>
    <w:link w:val="949"/>
    <w:qFormat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752">
    <w:name w:val="Heading 2"/>
    <w:basedOn w:val="750"/>
    <w:next w:val="750"/>
    <w:link w:val="76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3">
    <w:name w:val="Heading 3"/>
    <w:basedOn w:val="750"/>
    <w:next w:val="750"/>
    <w:link w:val="959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754">
    <w:name w:val="Heading 4"/>
    <w:basedOn w:val="750"/>
    <w:next w:val="750"/>
    <w:link w:val="76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6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Heading 1 Char"/>
    <w:basedOn w:val="760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60"/>
    <w:link w:val="752"/>
    <w:uiPriority w:val="9"/>
    <w:rPr>
      <w:rFonts w:ascii="Arial" w:hAnsi="Arial" w:eastAsia="Arial" w:cs="Arial"/>
      <w:sz w:val="34"/>
    </w:rPr>
  </w:style>
  <w:style w:type="character" w:styleId="765" w:customStyle="1">
    <w:name w:val="Heading 3 Char"/>
    <w:basedOn w:val="760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No Spacing"/>
    <w:uiPriority w:val="1"/>
    <w:qFormat/>
    <w:pPr>
      <w:spacing w:after="0" w:line="240" w:lineRule="auto"/>
    </w:pPr>
  </w:style>
  <w:style w:type="character" w:styleId="773" w:customStyle="1">
    <w:name w:val="Title Char"/>
    <w:basedOn w:val="760"/>
    <w:uiPriority w:val="10"/>
    <w:rPr>
      <w:sz w:val="48"/>
      <w:szCs w:val="48"/>
    </w:rPr>
  </w:style>
  <w:style w:type="paragraph" w:styleId="774">
    <w:name w:val="Subtitle"/>
    <w:basedOn w:val="750"/>
    <w:next w:val="750"/>
    <w:link w:val="775"/>
    <w:uiPriority w:val="11"/>
    <w:qFormat/>
    <w:pPr>
      <w:spacing w:before="200"/>
    </w:pPr>
    <w:rPr>
      <w:sz w:val="24"/>
      <w:szCs w:val="24"/>
    </w:rPr>
  </w:style>
  <w:style w:type="character" w:styleId="775" w:customStyle="1">
    <w:name w:val="Подзаголовок Знак"/>
    <w:basedOn w:val="760"/>
    <w:link w:val="774"/>
    <w:uiPriority w:val="11"/>
    <w:rPr>
      <w:sz w:val="24"/>
      <w:szCs w:val="24"/>
    </w:rPr>
  </w:style>
  <w:style w:type="paragraph" w:styleId="776">
    <w:name w:val="Quote"/>
    <w:basedOn w:val="750"/>
    <w:next w:val="750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50"/>
    <w:next w:val="750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60"/>
    <w:uiPriority w:val="99"/>
  </w:style>
  <w:style w:type="character" w:styleId="781" w:customStyle="1">
    <w:name w:val="Footer Char"/>
    <w:basedOn w:val="760"/>
    <w:uiPriority w:val="99"/>
  </w:style>
  <w:style w:type="paragraph" w:styleId="782">
    <w:name w:val="Caption"/>
    <w:basedOn w:val="750"/>
    <w:next w:val="750"/>
    <w:link w:val="78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3" w:customStyle="1">
    <w:name w:val="Название объекта Знак"/>
    <w:basedOn w:val="760"/>
    <w:link w:val="782"/>
    <w:uiPriority w:val="35"/>
    <w:rPr>
      <w:b/>
      <w:bCs/>
      <w:color w:val="4f81bd" w:themeColor="accent1"/>
      <w:sz w:val="18"/>
      <w:szCs w:val="18"/>
    </w:rPr>
  </w:style>
  <w:style w:type="table" w:styleId="784" w:customStyle="1">
    <w:name w:val="Table Grid Light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>
    <w:name w:val="Plain Table 1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7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9">
    <w:name w:val="footnote text"/>
    <w:basedOn w:val="750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60"/>
    <w:uiPriority w:val="99"/>
    <w:unhideWhenUsed/>
    <w:rPr>
      <w:vertAlign w:val="superscript"/>
    </w:rPr>
  </w:style>
  <w:style w:type="paragraph" w:styleId="912">
    <w:name w:val="endnote text"/>
    <w:basedOn w:val="750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60"/>
    <w:uiPriority w:val="99"/>
    <w:semiHidden/>
    <w:unhideWhenUsed/>
    <w:rPr>
      <w:vertAlign w:val="superscript"/>
    </w:rPr>
  </w:style>
  <w:style w:type="paragraph" w:styleId="915">
    <w:name w:val="toc 1"/>
    <w:basedOn w:val="750"/>
    <w:next w:val="750"/>
    <w:uiPriority w:val="39"/>
    <w:unhideWhenUsed/>
    <w:pPr>
      <w:spacing w:after="57"/>
    </w:pPr>
  </w:style>
  <w:style w:type="paragraph" w:styleId="916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17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18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19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20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21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22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23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50"/>
    <w:next w:val="750"/>
    <w:uiPriority w:val="99"/>
    <w:unhideWhenUsed/>
    <w:pPr>
      <w:spacing w:after="0"/>
    </w:pPr>
  </w:style>
  <w:style w:type="paragraph" w:styleId="926" w:customStyle="1">
    <w:name w:val="ConsPlusNormal"/>
    <w:link w:val="960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2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2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929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30">
    <w:name w:val="List Paragraph"/>
    <w:basedOn w:val="750"/>
    <w:uiPriority w:val="34"/>
    <w:qFormat/>
    <w:pPr>
      <w:contextualSpacing/>
      <w:ind w:left="720"/>
    </w:pPr>
  </w:style>
  <w:style w:type="table" w:styleId="931">
    <w:name w:val="Table Grid"/>
    <w:basedOn w:val="7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2" w:customStyle="1">
    <w:name w:val="Основной текст Знак1"/>
    <w:basedOn w:val="760"/>
    <w:uiPriority w:val="99"/>
    <w:rPr>
      <w:rFonts w:hint="default"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933">
    <w:name w:val="Body Text"/>
    <w:basedOn w:val="750"/>
    <w:link w:val="934"/>
    <w:uiPriority w:val="99"/>
    <w:semiHidden/>
    <w:unhideWhenUsed/>
    <w:pPr>
      <w:spacing w:after="120"/>
    </w:pPr>
  </w:style>
  <w:style w:type="character" w:styleId="934" w:customStyle="1">
    <w:name w:val="Основной текст Знак"/>
    <w:basedOn w:val="760"/>
    <w:link w:val="933"/>
    <w:uiPriority w:val="99"/>
    <w:semiHidden/>
  </w:style>
  <w:style w:type="paragraph" w:styleId="935">
    <w:name w:val="Header"/>
    <w:basedOn w:val="750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760"/>
    <w:link w:val="935"/>
    <w:uiPriority w:val="99"/>
  </w:style>
  <w:style w:type="paragraph" w:styleId="937">
    <w:name w:val="Footer"/>
    <w:basedOn w:val="750"/>
    <w:link w:val="9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760"/>
    <w:link w:val="937"/>
    <w:uiPriority w:val="99"/>
  </w:style>
  <w:style w:type="paragraph" w:styleId="939">
    <w:name w:val="Title"/>
    <w:basedOn w:val="750"/>
    <w:link w:val="94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40" w:customStyle="1">
    <w:name w:val="Заголовок Знак"/>
    <w:basedOn w:val="760"/>
    <w:link w:val="9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41">
    <w:name w:val="Balloon Text"/>
    <w:basedOn w:val="750"/>
    <w:link w:val="9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basedOn w:val="760"/>
    <w:link w:val="941"/>
    <w:uiPriority w:val="99"/>
    <w:semiHidden/>
    <w:rPr>
      <w:rFonts w:ascii="Tahoma" w:hAnsi="Tahoma" w:cs="Tahoma"/>
      <w:sz w:val="16"/>
      <w:szCs w:val="16"/>
    </w:rPr>
  </w:style>
  <w:style w:type="paragraph" w:styleId="943">
    <w:name w:val="Normal (Web)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45">
    <w:name w:val="Body Text 3"/>
    <w:basedOn w:val="750"/>
    <w:link w:val="946"/>
    <w:uiPriority w:val="99"/>
    <w:semiHidden/>
    <w:unhideWhenUsed/>
    <w:pPr>
      <w:spacing w:after="120"/>
    </w:pPr>
    <w:rPr>
      <w:sz w:val="16"/>
      <w:szCs w:val="16"/>
    </w:rPr>
  </w:style>
  <w:style w:type="character" w:styleId="946" w:customStyle="1">
    <w:name w:val="Основной текст 3 Знак"/>
    <w:basedOn w:val="760"/>
    <w:link w:val="945"/>
    <w:uiPriority w:val="99"/>
    <w:semiHidden/>
    <w:rPr>
      <w:sz w:val="16"/>
      <w:szCs w:val="16"/>
    </w:rPr>
  </w:style>
  <w:style w:type="character" w:styleId="947">
    <w:name w:val="Hyperlink"/>
    <w:uiPriority w:val="99"/>
    <w:rPr>
      <w:color w:val="0000ff"/>
      <w:u w:val="single"/>
    </w:rPr>
  </w:style>
  <w:style w:type="character" w:styleId="948" w:customStyle="1">
    <w:name w:val="blk"/>
    <w:basedOn w:val="760"/>
    <w:uiPriority w:val="99"/>
  </w:style>
  <w:style w:type="character" w:styleId="949" w:customStyle="1">
    <w:name w:val="Заголовок 1 Знак"/>
    <w:basedOn w:val="760"/>
    <w:link w:val="751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50" w:customStyle="1">
    <w:name w:val="Основной текст (2)_"/>
    <w:basedOn w:val="760"/>
    <w:link w:val="951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51" w:customStyle="1">
    <w:name w:val="Основной текст (2)"/>
    <w:basedOn w:val="750"/>
    <w:link w:val="950"/>
    <w:pPr>
      <w:ind w:hanging="120"/>
      <w:jc w:val="center"/>
      <w:spacing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952" w:customStyle="1">
    <w:name w:val="Гипертекстовая ссылка"/>
    <w:basedOn w:val="760"/>
    <w:uiPriority w:val="99"/>
    <w:rPr>
      <w:rFonts w:hint="default" w:ascii="Times New Roman" w:hAnsi="Times New Roman" w:cs="Times New Roman"/>
      <w:b w:val="0"/>
      <w:bCs w:val="0"/>
      <w:color w:val="106bbe"/>
    </w:rPr>
  </w:style>
  <w:style w:type="paragraph" w:styleId="953" w:customStyle="1">
    <w:name w:val="western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4" w:customStyle="1">
    <w:name w:val="news-title"/>
    <w:basedOn w:val="760"/>
  </w:style>
  <w:style w:type="paragraph" w:styleId="955" w:customStyle="1">
    <w:name w:val="Прижатый влево"/>
    <w:basedOn w:val="750"/>
    <w:next w:val="750"/>
    <w:uiPriority w:val="99"/>
    <w:pPr>
      <w:spacing w:after="0" w:line="240" w:lineRule="auto"/>
    </w:pPr>
    <w:rPr>
      <w:rFonts w:ascii="Cambria Math" w:hAnsi="Cambria Math" w:eastAsia="Verdana" w:cs="Cambria Math"/>
      <w:sz w:val="24"/>
      <w:szCs w:val="24"/>
      <w:lang w:eastAsia="ru-RU"/>
    </w:rPr>
  </w:style>
  <w:style w:type="character" w:styleId="956">
    <w:name w:val="FollowedHyperlink"/>
    <w:basedOn w:val="760"/>
    <w:uiPriority w:val="99"/>
    <w:semiHidden/>
    <w:unhideWhenUsed/>
    <w:rPr>
      <w:color w:val="800080" w:themeColor="followedHyperlink"/>
      <w:u w:val="single"/>
    </w:rPr>
  </w:style>
  <w:style w:type="paragraph" w:styleId="957" w:customStyle="1">
    <w:name w:val="Нормальный (таблица)"/>
    <w:basedOn w:val="750"/>
    <w:next w:val="750"/>
    <w:uiPriority w:val="99"/>
    <w:qFormat/>
    <w:pPr>
      <w:jc w:val="both"/>
      <w:spacing w:after="0" w:line="240" w:lineRule="auto"/>
      <w:widowControl w:val="off"/>
    </w:pPr>
    <w:rPr>
      <w:rFonts w:ascii="Arial" w:hAnsi="Arial" w:eastAsia="Times New Roman" w:cs="Times New Roman"/>
      <w:sz w:val="24"/>
      <w:szCs w:val="24"/>
      <w:lang w:eastAsia="ru-RU"/>
    </w:rPr>
  </w:style>
  <w:style w:type="character" w:styleId="958" w:customStyle="1">
    <w:name w:val="Основной текст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character" w:styleId="959" w:customStyle="1">
    <w:name w:val="Заголовок 3 Знак"/>
    <w:basedOn w:val="760"/>
    <w:link w:val="753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960" w:customStyle="1">
    <w:name w:val="ConsPlusNormal Знак"/>
    <w:link w:val="926"/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36BA-DED7-475C-8B95-EAE5349B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romanko</cp:lastModifiedBy>
  <cp:revision>10</cp:revision>
  <dcterms:created xsi:type="dcterms:W3CDTF">2025-04-09T06:15:00Z</dcterms:created>
  <dcterms:modified xsi:type="dcterms:W3CDTF">2025-08-28T09:41:18Z</dcterms:modified>
</cp:coreProperties>
</file>