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20" w:type="dxa"/>
        <w:jc w:val="left"/>
        <w:tblInd w:w="42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20"/>
      </w:tblGrid>
      <w:tr>
        <w:trPr>
          <w:trHeight w:val="2541" w:hRule="atLeast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7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>части затрат, понесенных на строительство теплиц для выращивания овощей и (или) ягод в защищённом грунте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99"/>
        <w:gridCol w:w="5439"/>
      </w:tblGrid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835" w:type="dxa"/>
        <w:jc w:val="left"/>
        <w:tblInd w:w="-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649"/>
        <w:gridCol w:w="1245"/>
        <w:gridCol w:w="961"/>
        <w:gridCol w:w="916"/>
        <w:gridCol w:w="960"/>
        <w:gridCol w:w="1021"/>
        <w:gridCol w:w="1131"/>
      </w:tblGrid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1"/>
                <w:szCs w:val="21"/>
              </w:rPr>
              <w:t>Наименование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 xml:space="preserve">Площадь теплицы </w:t>
            </w:r>
            <w:r>
              <w:rPr>
                <w:color w:val="000000"/>
                <w:sz w:val="20"/>
                <w:szCs w:val="20"/>
              </w:rPr>
              <w:t>для выращивания овощей и (или) ягод защищенного грунта, подлежащая</w:t>
            </w:r>
            <w:r>
              <w:rPr>
                <w:sz w:val="20"/>
                <w:szCs w:val="20"/>
              </w:rPr>
              <w:t xml:space="preserve"> субсидированию*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Фактические затраты,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Ставка субсидии,%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Ставка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субсидии за 1 кв.м.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гр.6 = =гр.3×гр.4/100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гр.7 = =гр.2×гр.5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(рублей)</w:t>
            </w:r>
          </w:p>
        </w:tc>
      </w:tr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1"/>
                <w:szCs w:val="21"/>
              </w:rPr>
              <w:t>8</w:t>
            </w:r>
          </w:p>
        </w:tc>
      </w:tr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rPr/>
            </w:pPr>
            <w:r>
              <w:rPr>
                <w:sz w:val="20"/>
                <w:szCs w:val="20"/>
              </w:rPr>
              <w:t>Теплица на металлическом и стеклопластиковом каркасе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rPr/>
            </w:pPr>
            <w:r>
              <w:rPr>
                <w:sz w:val="20"/>
                <w:szCs w:val="20"/>
              </w:rPr>
              <w:t>Теплица на деревянном и комбинированном каркасе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rPr/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/>
      </w:pPr>
      <w:r>
        <w:rPr/>
        <w:t> </w:t>
      </w:r>
      <w:r>
        <w:rPr/>
        <w:t>* площадь теплицы, подлежащая субсидированию, берётся из акта обследования теплицы, при этом общая площадь не должна превышать:</w:t>
      </w:r>
    </w:p>
    <w:p>
      <w:pPr>
        <w:pStyle w:val="Normal"/>
        <w:ind w:left="280" w:hanging="280"/>
        <w:jc w:val="both"/>
        <w:rPr/>
      </w:pPr>
      <w:r>
        <w:rPr/>
        <w:t>- 5 000  кв.м. и не менее 100 кв.м. каждая</w:t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-113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624" w:gutter="0" w:header="0" w:top="1134" w:footer="0" w:bottom="1134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729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925a0"/>
    <w:rPr/>
  </w:style>
  <w:style w:type="character" w:styleId="Style13" w:customStyle="1">
    <w:name w:val="Нижний колонтитул Знак"/>
    <w:qFormat/>
    <w:rsid w:val="00b76267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842325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f92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673e7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3b7c2a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b762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e1c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f0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LibreOffice/7.4.3.2$Windows_X86_64 LibreOffice_project/1048a8393ae2eeec98dff31b5c133c5f1d08b890</Application>
  <AppVersion>15.0000</AppVersion>
  <Pages>2</Pages>
  <Words>223</Words>
  <Characters>1612</Characters>
  <CharactersWithSpaces>1966</CharactersWithSpaces>
  <Paragraphs>64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2025-04-25T09:15:42Z</cp:lastPrinted>
  <dcterms:modified xsi:type="dcterms:W3CDTF">2025-04-25T09:16:45Z</dcterms:modified>
  <cp:revision>21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