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rPr>
          <w:rFonts w:ascii="FreeSerif" w:hAnsi="FreeSerif"/>
          <w:b w:val="0"/>
          <w:sz w:val="28"/>
        </w:rPr>
      </w:pPr>
      <w:r>
        <w:rPr>
          <w:b w:val="0"/>
        </w:rPr>
        <w:t xml:space="preserve">                                            </w:t>
      </w:r>
      <w:r>
        <w:rPr>
          <w:rFonts w:ascii="FreeSerif" w:hAnsi="FreeSerif"/>
          <w:b w:val="0"/>
          <w:sz w:val="28"/>
        </w:rPr>
        <w:t>Приложение 1</w:t>
      </w:r>
    </w:p>
    <w:p w14:paraId="06000000">
      <w:pPr>
        <w:pStyle w:val="Style_3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                                                УТВЕРЖДЕН</w:t>
      </w:r>
    </w:p>
    <w:p w14:paraId="07000000">
      <w:pPr>
        <w:pStyle w:val="Style_3"/>
        <w:ind/>
        <w:jc w:val="right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      </w:t>
      </w:r>
      <w:r>
        <w:rPr>
          <w:b w:val="0"/>
          <w:sz w:val="28"/>
        </w:rPr>
        <w:t>постановлением администрации</w:t>
      </w:r>
    </w:p>
    <w:p w14:paraId="08000000">
      <w:pPr>
        <w:pStyle w:val="Style_3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                                                                          муниципального образования</w:t>
      </w:r>
    </w:p>
    <w:p w14:paraId="09000000">
      <w:pPr>
        <w:pStyle w:val="Style_3"/>
        <w:ind/>
        <w:jc w:val="right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</w:t>
      </w:r>
      <w:r>
        <w:rPr>
          <w:b w:val="0"/>
          <w:sz w:val="28"/>
        </w:rPr>
        <w:t xml:space="preserve">  Ленинградский муниципальный</w:t>
      </w:r>
    </w:p>
    <w:p w14:paraId="0A000000">
      <w:pPr>
        <w:pStyle w:val="Style_3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                                                                       округ Краснодарского края</w:t>
      </w:r>
    </w:p>
    <w:p w14:paraId="0B000000">
      <w:pPr>
        <w:pStyle w:val="Style_3"/>
        <w:rPr>
          <w:rFonts w:ascii="FreeSerif" w:hAnsi="FreeSerif"/>
          <w:b w:val="0"/>
          <w:sz w:val="28"/>
        </w:rPr>
      </w:pPr>
      <w:r>
        <w:rPr>
          <w:rFonts w:ascii="FreeSerif" w:hAnsi="FreeSerif"/>
          <w:b w:val="0"/>
          <w:sz w:val="28"/>
        </w:rPr>
        <w:t xml:space="preserve">                                                              от 30.01.2026</w:t>
      </w:r>
      <w:r>
        <w:rPr>
          <w:rFonts w:ascii="FreeSerif" w:hAnsi="FreeSerif"/>
          <w:b w:val="0"/>
          <w:sz w:val="28"/>
        </w:rPr>
        <w:t xml:space="preserve"> № 65</w:t>
      </w:r>
    </w:p>
    <w:p w14:paraId="0C000000">
      <w:pPr>
        <w:pStyle w:val="Style_3"/>
        <w:rPr>
          <w:rFonts w:ascii="FreeSerif" w:hAnsi="FreeSerif"/>
          <w:b w:val="0"/>
          <w:sz w:val="28"/>
        </w:rPr>
      </w:pPr>
    </w:p>
    <w:p w14:paraId="0D000000">
      <w:pPr>
        <w:ind w:firstLine="18" w:left="4794"/>
        <w:rPr>
          <w:rFonts w:ascii="FreeSerif" w:hAnsi="FreeSerif"/>
          <w:highlight w:val="yellow"/>
        </w:rPr>
      </w:pPr>
    </w:p>
    <w:p w14:paraId="0E000000">
      <w:pPr>
        <w:ind w:firstLine="709" w:left="0"/>
        <w:jc w:val="center"/>
        <w:rPr>
          <w:rFonts w:ascii="FreeSerif" w:hAnsi="FreeSerif"/>
          <w:b w:val="1"/>
        </w:rPr>
      </w:pPr>
      <w:r>
        <w:rPr>
          <w:rFonts w:ascii="FreeSerif" w:hAnsi="FreeSerif"/>
          <w:b w:val="1"/>
        </w:rPr>
        <w:t>ПОРЯДОК</w:t>
      </w:r>
    </w:p>
    <w:p w14:paraId="0F000000">
      <w:pPr>
        <w:ind w:firstLine="709" w:left="0"/>
        <w:jc w:val="center"/>
        <w:rPr>
          <w:rFonts w:ascii="FreeSerif" w:hAnsi="FreeSerif"/>
          <w:b w:val="1"/>
          <w:spacing w:val="-6"/>
        </w:rPr>
      </w:pPr>
      <w:r>
        <w:rPr>
          <w:rFonts w:ascii="FreeSerif" w:hAnsi="FreeSerif"/>
          <w:b w:val="1"/>
          <w:spacing w:val="-6"/>
        </w:rPr>
        <w:t>создания координационных или совещательных органов</w:t>
      </w:r>
    </w:p>
    <w:p w14:paraId="10000000">
      <w:pPr>
        <w:ind w:firstLine="709" w:left="0"/>
        <w:jc w:val="center"/>
        <w:rPr>
          <w:rFonts w:ascii="FreeSerif" w:hAnsi="FreeSerif"/>
          <w:b w:val="1"/>
          <w:spacing w:val="-6"/>
        </w:rPr>
      </w:pPr>
      <w:r>
        <w:rPr>
          <w:rFonts w:ascii="FreeSerif" w:hAnsi="FreeSerif"/>
          <w:b w:val="1"/>
          <w:spacing w:val="-6"/>
        </w:rPr>
        <w:t>в области развития малого и среднего предпринимательства</w:t>
      </w:r>
    </w:p>
    <w:p w14:paraId="11000000">
      <w:pPr>
        <w:ind w:firstLine="709" w:left="0"/>
        <w:jc w:val="center"/>
        <w:rPr>
          <w:rFonts w:ascii="FreeSerif" w:hAnsi="FreeSerif"/>
          <w:b w:val="1"/>
          <w:spacing w:val="-6"/>
        </w:rPr>
      </w:pPr>
      <w:r>
        <w:rPr>
          <w:rFonts w:ascii="FreeSerif" w:hAnsi="FreeSerif"/>
          <w:b w:val="1"/>
          <w:spacing w:val="-6"/>
        </w:rPr>
        <w:t>на территории муниципального образования</w:t>
      </w:r>
    </w:p>
    <w:p w14:paraId="12000000">
      <w:pPr>
        <w:ind w:firstLine="709" w:left="0"/>
        <w:jc w:val="center"/>
        <w:rPr>
          <w:rFonts w:ascii="FreeSerif" w:hAnsi="FreeSerif"/>
          <w:b w:val="1"/>
        </w:rPr>
      </w:pPr>
      <w:r>
        <w:rPr>
          <w:rFonts w:ascii="FreeSerif" w:hAnsi="FreeSerif"/>
          <w:b w:val="1"/>
          <w:spacing w:val="-6"/>
        </w:rPr>
        <w:t>Ленинградский муниципальный округ Краснодарского края</w:t>
      </w:r>
      <w:r>
        <w:rPr>
          <w:rFonts w:ascii="FreeSerif" w:hAnsi="FreeSerif"/>
          <w:b w:val="1"/>
        </w:rPr>
        <w:t xml:space="preserve"> </w:t>
      </w:r>
      <w:r>
        <w:rPr>
          <w:rFonts w:ascii="FreeSerif" w:hAnsi="FreeSerif"/>
          <w:b w:val="1"/>
        </w:rPr>
        <w:br/>
      </w:r>
    </w:p>
    <w:p w14:paraId="13000000">
      <w:pPr>
        <w:ind w:firstLine="709" w:left="0"/>
        <w:jc w:val="center"/>
        <w:rPr>
          <w:rFonts w:ascii="FreeSerif" w:hAnsi="FreeSerif"/>
        </w:rPr>
      </w:pPr>
    </w:p>
    <w:p w14:paraId="14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1. Настоящий Порядок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(далее - Порядок) разработан в соответствии с Федеральным законом от 24 июля 2007 г.</w:t>
      </w:r>
      <w:r>
        <w:rPr>
          <w:rFonts w:ascii="FreeSerif" w:hAnsi="FreeSerif"/>
        </w:rPr>
        <w:t xml:space="preserve"> № 209-ФЗ «О развитии малого и среднего предпринимательства в Российской Федерации» (далее - Закон) и определяет цели, условия и процедуру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(далее - Координационные или совещательные органы).</w:t>
      </w:r>
    </w:p>
    <w:p w14:paraId="15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Понятия и термины, используемые в настоящем Порядке, применяются в значениях, определенных Законом.</w:t>
      </w:r>
    </w:p>
    <w:p w14:paraId="16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 </w:t>
      </w:r>
      <w:r>
        <w:rPr>
          <w:rFonts w:ascii="FreeSerif" w:hAnsi="FreeSerif"/>
        </w:rPr>
        <w:t>2. Координационные или совещательные органы создаются в целях:</w:t>
      </w:r>
    </w:p>
    <w:p w14:paraId="17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привлечения субъектов малого и среднего предпринимательства к выработке и реализации мероприятий по поддержке малого и среднего предпринимательства на территории муниципального образования Ленинградский муниципальный округ Краснодарского края;</w:t>
      </w:r>
    </w:p>
    <w:p w14:paraId="18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выдвижения и поддержки инициатив, направленных на реализацию мероприятий по поддержке малого и среднего предпринимательства на территории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края;</w:t>
      </w:r>
    </w:p>
    <w:p w14:paraId="19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проведения общественной экспертизы проектов муниципальных правовых актов муниципального образования Ленинградский муниципальный округ Краснодарского края, регулирующих развитие малого и среднего предпринимательства </w:t>
      </w:r>
      <w:r>
        <w:rPr>
          <w:rFonts w:ascii="FreeSerif" w:hAnsi="FreeSerif"/>
        </w:rPr>
        <w:t>на территории муниципального образования Ленинградский муниципальный округ Краснодарского края;</w:t>
      </w:r>
    </w:p>
    <w:p w14:paraId="1A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выработки рекомендаций органам местного самоуправления </w:t>
      </w:r>
      <w:r>
        <w:rPr>
          <w:rFonts w:ascii="FreeSerif" w:hAnsi="FreeSerif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/>
        </w:rPr>
        <w:t>при определении приоритетов в области развития малого и среднего предпринимательства;</w:t>
      </w:r>
    </w:p>
    <w:p w14:paraId="1B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14:paraId="1C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3. Координационные или совещательные органы создаются по инициативе:</w:t>
      </w:r>
    </w:p>
    <w:p w14:paraId="1D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1) администрации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>;</w:t>
      </w:r>
    </w:p>
    <w:p w14:paraId="1E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2) групп субъектов малого и (или) среднего предпринимательства, зарегистрированных и осуществляющих предпринимательскую деятельность на территории </w:t>
      </w:r>
      <w:r>
        <w:rPr>
          <w:rFonts w:ascii="FreeSerif" w:hAnsi="FreeSerif"/>
        </w:rPr>
        <w:t xml:space="preserve">муниципального </w:t>
      </w:r>
      <w:r>
        <w:rPr>
          <w:rFonts w:ascii="FreeSerif" w:hAnsi="FreeSerif"/>
        </w:rPr>
        <w:t>образования Ленинградский муниципальный округ Краснодарского края</w:t>
      </w:r>
      <w:r>
        <w:rPr>
          <w:rFonts w:ascii="FreeSerif" w:hAnsi="FreeSerif"/>
        </w:rPr>
        <w:t>, в количестве десяти человек (далее - инициативная группа);</w:t>
      </w:r>
    </w:p>
    <w:p w14:paraId="1F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3) некоммерческой организации, выражающей интересы субъектов малого и среднего предпринимательства, зарегистрированной и осуществляющей свою деятельность на территории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>;</w:t>
      </w:r>
    </w:p>
    <w:p w14:paraId="20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4) организации, образующей инфраструктуру поддержки субъектов малого и среднего предпринимательства, зарегистрированной и осуществляющей свою деятельность на территории </w:t>
      </w:r>
      <w:r>
        <w:rPr>
          <w:rFonts w:ascii="FreeSerif" w:hAnsi="FreeSerif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/>
        </w:rPr>
        <w:t>(далее - инициаторы).</w:t>
      </w:r>
    </w:p>
    <w:p w14:paraId="21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4. Инициаторы создания Координационного или совещательного органа, указанные в подпунктах 2, 3, 4 пункта 3 настоящего Порядка, направляют в администрацию </w:t>
      </w:r>
      <w:r>
        <w:rPr>
          <w:rFonts w:ascii="FreeSerif" w:hAnsi="FreeSerif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/>
        </w:rPr>
        <w:t>в письменной форме предложение о создании Координационного или совещательного органа (далее - предложение).</w:t>
      </w:r>
    </w:p>
    <w:p w14:paraId="22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Предложение должно содержать обоснование необходимости создания Координационного или совещательного органа и список кандидатур для включения в состав Координационного или совещательного органа.</w:t>
      </w:r>
    </w:p>
    <w:p w14:paraId="23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К предложениям инициаторов, указанных в подпунктах 3, 4 пункта 3 настоящего Порядка, должны быть приложены копии учредительных документов и всех изменений к ним, выписки из Единого государственного реестра юридических лиц, полученной не ранее чем за один месяц до даты подачи предложения, заверенные руководителем инициатора и печатью (при наличии).</w:t>
      </w:r>
    </w:p>
    <w:p w14:paraId="24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К предложению инициативной группы должны быть приложены: протокол собрания данной инициативной группы по вопросу создания Координационного или совещательного органа, копии документов, подтверждающих, что члены инициативной группы являются субъектами малого и (или) среднего предпринимательства, зарегистрированными и осуществляющими свою деятельность на территории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>, заверенные руководителем организации (индивидуальным предпринимателем) и печатью (при наличии).</w:t>
      </w:r>
    </w:p>
    <w:p w14:paraId="25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5. Поступившее предложение рассматривается администрацией </w:t>
      </w:r>
      <w:r>
        <w:rPr>
          <w:rFonts w:ascii="FreeSerif" w:hAnsi="FreeSerif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/>
        </w:rPr>
        <w:t>в течение 30 календарных дней со дня его регистрации. По результатам рассмотрения предложения инициатор письменно уведомляется о принятом решении.</w:t>
      </w:r>
    </w:p>
    <w:p w14:paraId="26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Основаниями для отказа в создании Координационного или совещательного органа являются:</w:t>
      </w:r>
    </w:p>
    <w:p w14:paraId="27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направление предложения инициатором, не указанным в пункте 3 настоящего Порядка;</w:t>
      </w:r>
    </w:p>
    <w:p w14:paraId="28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направление инициатором предложения, не соответствующего требованиям пункта 4 настоящего Порядка;</w:t>
      </w:r>
    </w:p>
    <w:p w14:paraId="29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наличие в представленных инициатором документах неполной и (или) недостоверной информации.</w:t>
      </w:r>
    </w:p>
    <w:p w14:paraId="2A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6. Координационный или совещательный орган образуется в форме совета.</w:t>
      </w:r>
    </w:p>
    <w:p w14:paraId="2B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7. Координационный или совещательный орган состоит из председателя, заместителя председателя, секретаря и членов Координационного или совещательного органа.</w:t>
      </w:r>
    </w:p>
    <w:p w14:paraId="2C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В состав Координационного или совещательного органа включаются:</w:t>
      </w:r>
    </w:p>
    <w:p w14:paraId="2D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представители органов местного самоуправления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 xml:space="preserve">, отраслевых (функциональных) и территориальных органов администрации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>;</w:t>
      </w:r>
      <w:r>
        <w:rPr>
          <w:rFonts w:ascii="FreeSerif" w:hAnsi="FreeSerif"/>
        </w:rPr>
        <w:t xml:space="preserve"> </w:t>
      </w:r>
    </w:p>
    <w:p w14:paraId="2E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представители субъектов малого и среднего предпринимательства, зарегистрированных и осуществляющих предпринимательскую деятельность на территории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>;</w:t>
      </w:r>
    </w:p>
    <w:p w14:paraId="2F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представители некоммерческих организаций, выражающих интересы субъектов малого и среднего предпринимательства, зарегистрированных и осуществляющих свою деятельность на территории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>;</w:t>
      </w:r>
    </w:p>
    <w:p w14:paraId="30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представители организаций, образующих инфраструктуру поддержки субъектов малого и среднего предпринимательства, зарегистрированных и осуществляющих свою деятельность на территории </w:t>
      </w:r>
      <w:r>
        <w:rPr>
          <w:rFonts w:ascii="FreeSerif" w:hAnsi="FreeSerif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/>
        </w:rPr>
        <w:t>(далее - представители субъектов предпринимательства).</w:t>
      </w:r>
    </w:p>
    <w:p w14:paraId="31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Количественный состав Координационного или совещательного органа не должен превышать 20 человек, при этом количество представителей субъектов предпринимательства должно составлять две третьих от общего числа членов Координационного или совещательного органа.</w:t>
      </w:r>
    </w:p>
    <w:p w14:paraId="32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8. Состав Координационного или совещательного органа формируется:</w:t>
      </w:r>
    </w:p>
    <w:p w14:paraId="33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администрацией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>;</w:t>
      </w:r>
    </w:p>
    <w:p w14:paraId="34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по предложению инициатора в порядке, установленном пунктом 4 настоящего Порядка.</w:t>
      </w:r>
    </w:p>
    <w:p w14:paraId="35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9. При формировании состава Координационного или совещательного органа администрацией </w:t>
      </w:r>
      <w:r>
        <w:rPr>
          <w:rFonts w:ascii="FreeSerif" w:hAnsi="FreeSerif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/>
        </w:rPr>
        <w:t xml:space="preserve">на официальном сайте администрации </w:t>
      </w:r>
      <w:r>
        <w:rPr>
          <w:rFonts w:ascii="FreeSerif" w:hAnsi="FreeSerif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/>
        </w:rPr>
        <w:t xml:space="preserve">в информационно-телекоммуникационной сети </w:t>
      </w:r>
      <w:r>
        <w:rPr>
          <w:rFonts w:ascii="FreeSerif" w:hAnsi="FreeSerif"/>
        </w:rPr>
        <w:t>«</w:t>
      </w:r>
      <w:r>
        <w:rPr>
          <w:rFonts w:ascii="FreeSerif" w:hAnsi="FreeSerif"/>
        </w:rPr>
        <w:t>Интернет</w:t>
      </w:r>
      <w:r>
        <w:rPr>
          <w:rFonts w:ascii="FreeSerif" w:hAnsi="FreeSerif"/>
        </w:rPr>
        <w:t>»</w:t>
      </w:r>
      <w:r>
        <w:rPr>
          <w:rFonts w:ascii="FreeSerif" w:hAnsi="FreeSerif"/>
        </w:rPr>
        <w:t xml:space="preserve"> (www.</w:t>
      </w:r>
      <w:r>
        <w:t xml:space="preserve">adminlenkub.ru) </w:t>
      </w:r>
      <w:r>
        <w:rPr>
          <w:rFonts w:ascii="FreeSerif" w:hAnsi="FreeSerif"/>
        </w:rPr>
        <w:t>(далее - официальный сайт) размещается извещение о приеме предложений по кандидатурам в члены Координационного или совещательного органа (далее - извещение), в котором указываются:</w:t>
      </w:r>
    </w:p>
    <w:p w14:paraId="36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1) место и срок подачи предложений по кандидатурам в члены Координационного или совещательного органа (далее - заявление о приеме);</w:t>
      </w:r>
    </w:p>
    <w:p w14:paraId="37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2) форма заявления о приеме;</w:t>
      </w:r>
    </w:p>
    <w:p w14:paraId="38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3</w:t>
      </w:r>
      <w:r>
        <w:rPr>
          <w:rFonts w:ascii="FreeSerif" w:hAnsi="FreeSerif"/>
        </w:rPr>
        <w:t>) условия подачи заявлений о приеме;</w:t>
      </w:r>
    </w:p>
    <w:p w14:paraId="39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4) количество кандидатур в члены Координационного или совещательного органа.</w:t>
      </w:r>
    </w:p>
    <w:p w14:paraId="3A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10. Решение о включении кандидатуры членом Координационного или совещательного органа либо об отказе во включении кандидатуры принимается администрацией </w:t>
      </w:r>
      <w:r>
        <w:rPr>
          <w:rFonts w:ascii="FreeSerif" w:hAnsi="FreeSerif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/>
        </w:rPr>
        <w:t>в течение десяти рабочих дней со дня окончания срока подачи заявлений о приеме.</w:t>
      </w:r>
    </w:p>
    <w:p w14:paraId="3B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В случае если заявлений о приеме поступило больше, чем количество кандидатур в члены Координационного или совещательного органа, указанное в извещении, и они соответствуют требованиям пункта 9 настоящего Порядка, решения о включении кандидатур членами Координационного или совещательного органа принимаются администрацией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 xml:space="preserve"> исходя</w:t>
      </w:r>
      <w:r>
        <w:rPr>
          <w:rFonts w:ascii="FreeSerif" w:hAnsi="FreeSerif"/>
        </w:rPr>
        <w:t xml:space="preserve"> </w:t>
      </w:r>
      <w:r>
        <w:rPr>
          <w:rFonts w:ascii="FreeSerif" w:hAnsi="FreeSerif"/>
        </w:rPr>
        <w:t>из времени</w:t>
      </w:r>
      <w:r>
        <w:rPr>
          <w:rFonts w:ascii="FreeSerif" w:hAnsi="FreeSerif"/>
        </w:rPr>
        <w:t xml:space="preserve"> и даты </w:t>
      </w:r>
      <w:r>
        <w:rPr>
          <w:rFonts w:ascii="FreeSerif" w:hAnsi="FreeSerif"/>
        </w:rPr>
        <w:t>поступления заявлений о приеме.</w:t>
      </w:r>
    </w:p>
    <w:p w14:paraId="3C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Основаниями для отказа во включении кандидатуры членом Координационного или совещательного органа являются:</w:t>
      </w:r>
    </w:p>
    <w:p w14:paraId="3D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подача заявления о приеме по истечении срока, указанного в извещении;</w:t>
      </w:r>
    </w:p>
    <w:p w14:paraId="3E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несоответствие условиям подачи заявлений, указанным в извещении;</w:t>
      </w:r>
    </w:p>
    <w:p w14:paraId="3F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наличие принятого решения о включении кандидатур членом Координационного или совещательного органа по количеству, указанному в извещении.</w:t>
      </w:r>
    </w:p>
    <w:p w14:paraId="40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Письменное уведомление о включении кандидатуры членом Координационного или совещательного органа либо об отказе во включении кандидатуры направляется администрацией </w:t>
      </w:r>
      <w:r>
        <w:rPr>
          <w:rFonts w:ascii="FreeSerif" w:hAnsi="FreeSerif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/>
        </w:rPr>
        <w:t>не позднее пяти рабочих дней со дня принятия соответствующего решения.</w:t>
      </w:r>
    </w:p>
    <w:p w14:paraId="41000000">
      <w:pPr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11. Решение о создании Координационного или совещательного органа принимается в форме нормативного акта администрации </w:t>
      </w:r>
      <w:r>
        <w:rPr>
          <w:rFonts w:ascii="FreeSerif" w:hAnsi="FreeSerif"/>
        </w:rPr>
        <w:t>муниципального образования Ленинградский муниципальный округ Краснодарского края</w:t>
      </w:r>
      <w:r>
        <w:rPr>
          <w:rFonts w:ascii="FreeSerif" w:hAnsi="FreeSerif"/>
        </w:rPr>
        <w:t>, подлежит официальному опубликованию и размещению на официальном сайте.</w:t>
      </w:r>
    </w:p>
    <w:p w14:paraId="42000000">
      <w:pPr>
        <w:ind w:firstLine="709" w:left="0"/>
        <w:jc w:val="both"/>
        <w:rPr>
          <w:rFonts w:ascii="FreeSerif" w:hAnsi="FreeSerif"/>
        </w:rPr>
      </w:pPr>
    </w:p>
    <w:p w14:paraId="43000000">
      <w:pPr>
        <w:ind/>
        <w:jc w:val="both"/>
        <w:rPr>
          <w:rFonts w:ascii="FreeSerif" w:hAnsi="FreeSerif"/>
        </w:rPr>
      </w:pPr>
      <w:bookmarkStart w:id="1" w:name="sub_10415"/>
    </w:p>
    <w:p w14:paraId="44000000">
      <w:pPr>
        <w:ind/>
        <w:jc w:val="both"/>
        <w:rPr>
          <w:rFonts w:ascii="FreeSerif" w:hAnsi="FreeSerif"/>
        </w:rPr>
      </w:pPr>
      <w:bookmarkEnd w:id="1"/>
      <w:r>
        <w:rPr>
          <w:rFonts w:ascii="FreeSerif" w:hAnsi="FreeSerif"/>
        </w:rPr>
        <w:t>Исполняющий обязанности</w:t>
      </w:r>
    </w:p>
    <w:p w14:paraId="45000000">
      <w:pPr>
        <w:ind/>
        <w:jc w:val="both"/>
        <w:rPr>
          <w:rFonts w:ascii="FreeSerif" w:hAnsi="FreeSerif"/>
        </w:rPr>
      </w:pPr>
      <w:r>
        <w:rPr>
          <w:rFonts w:ascii="FreeSerif" w:hAnsi="FreeSerif"/>
        </w:rPr>
        <w:t>начальника отдела экономики администрации</w:t>
      </w:r>
    </w:p>
    <w:p w14:paraId="46000000">
      <w:pPr>
        <w:ind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Ленинградского муниципального округа                                   Д.В. Андрющенко  </w:t>
      </w:r>
    </w:p>
    <w:p w14:paraId="47000000">
      <w:pPr>
        <w:ind/>
        <w:jc w:val="both"/>
        <w:rPr>
          <w:rFonts w:ascii="FreeSerif" w:hAnsi="FreeSerif"/>
        </w:rPr>
      </w:pPr>
    </w:p>
    <w:p w14:paraId="48000000">
      <w:pPr>
        <w:ind/>
        <w:jc w:val="both"/>
        <w:rPr>
          <w:rFonts w:ascii="FreeSerif" w:hAnsi="FreeSerif"/>
        </w:rPr>
      </w:pPr>
    </w:p>
    <w:p w14:paraId="49000000">
      <w:pPr>
        <w:ind/>
        <w:jc w:val="both"/>
        <w:rPr>
          <w:rFonts w:ascii="FreeSerif" w:hAnsi="FreeSerif"/>
        </w:rPr>
      </w:pPr>
    </w:p>
    <w:p w14:paraId="4A000000">
      <w:pPr>
        <w:ind/>
        <w:jc w:val="both"/>
        <w:rPr>
          <w:rFonts w:ascii="FreeSerif" w:hAnsi="FreeSerif"/>
        </w:rPr>
      </w:pPr>
    </w:p>
    <w:p w14:paraId="4B000000">
      <w:pPr>
        <w:ind/>
        <w:jc w:val="both"/>
        <w:rPr>
          <w:rFonts w:ascii="FreeSerif" w:hAnsi="FreeSerif"/>
        </w:rPr>
      </w:pPr>
    </w:p>
    <w:p w14:paraId="4C000000">
      <w:pPr>
        <w:ind/>
        <w:jc w:val="both"/>
        <w:rPr>
          <w:rFonts w:ascii="FreeSerif" w:hAnsi="FreeSerif"/>
        </w:rPr>
      </w:pPr>
    </w:p>
    <w:p w14:paraId="4D000000">
      <w:pPr>
        <w:ind/>
        <w:jc w:val="both"/>
        <w:rPr>
          <w:rFonts w:ascii="FreeSerif" w:hAnsi="FreeSerif"/>
        </w:rPr>
      </w:pPr>
    </w:p>
    <w:p w14:paraId="4E000000">
      <w:pPr>
        <w:ind/>
        <w:jc w:val="both"/>
        <w:rPr>
          <w:rFonts w:ascii="FreeSerif" w:hAnsi="FreeSerif"/>
        </w:rPr>
      </w:pPr>
    </w:p>
    <w:p w14:paraId="4F000000">
      <w:pPr>
        <w:ind/>
        <w:jc w:val="both"/>
        <w:rPr>
          <w:rFonts w:ascii="FreeSerif" w:hAnsi="FreeSerif"/>
        </w:rPr>
      </w:pPr>
    </w:p>
    <w:sectPr>
      <w:headerReference r:id="rId1" w:type="default"/>
      <w:headerReference r:id="rId2" w:type="even"/>
      <w:pgSz w:h="16838" w:orient="portrait" w:w="11906"/>
      <w:pgMar w:bottom="1134" w:footer="851" w:gutter="0" w:header="851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Font Style36"/>
    <w:link w:val="Style_6_ch"/>
    <w:rPr>
      <w:rFonts w:ascii="Times New Roman" w:hAnsi="Times New Roman"/>
      <w:b w:val="1"/>
    </w:rPr>
  </w:style>
  <w:style w:styleId="Style_6_ch" w:type="character">
    <w:name w:val="Font Style36"/>
    <w:link w:val="Style_6"/>
    <w:rPr>
      <w:rFonts w:ascii="Times New Roman" w:hAnsi="Times New Roman"/>
      <w:b w:val="1"/>
    </w:rPr>
  </w:style>
  <w:style w:styleId="Style_7" w:type="paragraph">
    <w:name w:val="Прижатый влево"/>
    <w:basedOn w:val="Style_4"/>
    <w:next w:val="Style_4"/>
    <w:link w:val="Style_7_ch"/>
    <w:pPr>
      <w:widowControl w:val="0"/>
      <w:ind/>
    </w:pPr>
    <w:rPr>
      <w:rFonts w:ascii="Arial" w:hAnsi="Arial"/>
      <w:sz w:val="24"/>
    </w:rPr>
  </w:style>
  <w:style w:styleId="Style_7_ch" w:type="character">
    <w:name w:val="Прижатый влево"/>
    <w:basedOn w:val="Style_4_ch"/>
    <w:link w:val="Style_7"/>
    <w:rPr>
      <w:rFonts w:ascii="Arial" w:hAnsi="Arial"/>
      <w:sz w:val="24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2_ch" w:type="character">
    <w:name w:val="heading 3"/>
    <w:basedOn w:val="Style_4_ch"/>
    <w:link w:val="Style_12"/>
    <w:rPr>
      <w:rFonts w:ascii="Arial" w:hAnsi="Arial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List Paragraph"/>
    <w:basedOn w:val="Style_4"/>
    <w:link w:val="Style_1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4_ch"/>
    <w:link w:val="Style_13"/>
    <w:rPr>
      <w:rFonts w:ascii="Calibri" w:hAnsi="Calibri"/>
      <w:sz w:val="22"/>
    </w:rPr>
  </w:style>
  <w:style w:styleId="Style_14" w:type="paragraph">
    <w:name w:val="FollowedHyperlink"/>
    <w:link w:val="Style_14_ch"/>
    <w:rPr>
      <w:color w:val="800080"/>
      <w:u w:val="single"/>
    </w:rPr>
  </w:style>
  <w:style w:styleId="Style_14_ch" w:type="character">
    <w:name w:val="FollowedHyperlink"/>
    <w:link w:val="Style_14"/>
    <w:rPr>
      <w:color w:val="800080"/>
      <w:u w:val="single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Гипертекстовая ссылка"/>
    <w:link w:val="Style_16_ch"/>
    <w:rPr>
      <w:color w:val="008000"/>
      <w:sz w:val="16"/>
      <w:u w:val="single"/>
    </w:rPr>
  </w:style>
  <w:style w:styleId="Style_16_ch" w:type="character">
    <w:name w:val="Гипертекстовая ссылка"/>
    <w:link w:val="Style_16"/>
    <w:rPr>
      <w:color w:val="008000"/>
      <w:sz w:val="16"/>
      <w:u w:val="single"/>
    </w:rPr>
  </w:style>
  <w:style w:styleId="Style_17" w:type="paragraph">
    <w:name w:val="Body Text Indent"/>
    <w:basedOn w:val="Style_4"/>
    <w:link w:val="Style_17_ch"/>
    <w:pPr>
      <w:ind w:firstLine="708" w:left="0"/>
      <w:jc w:val="both"/>
    </w:pPr>
    <w:rPr>
      <w:sz w:val="24"/>
    </w:rPr>
  </w:style>
  <w:style w:styleId="Style_17_ch" w:type="character">
    <w:name w:val="Body Text Indent"/>
    <w:basedOn w:val="Style_4_ch"/>
    <w:link w:val="Style_17"/>
    <w:rPr>
      <w:sz w:val="24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2" w:type="paragraph">
    <w:name w:val="page number"/>
    <w:basedOn w:val="Style_19"/>
    <w:link w:val="Style_2_ch"/>
  </w:style>
  <w:style w:styleId="Style_2_ch" w:type="character">
    <w:name w:val="page number"/>
    <w:basedOn w:val="Style_19_ch"/>
    <w:link w:val="Style_2"/>
  </w:style>
  <w:style w:styleId="Style_20" w:type="paragraph">
    <w:name w:val="Heading"/>
    <w:link w:val="Style_20_ch"/>
    <w:pPr>
      <w:widowControl w:val="0"/>
      <w:ind/>
    </w:pPr>
    <w:rPr>
      <w:rFonts w:ascii="Arial" w:hAnsi="Arial"/>
      <w:b w:val="1"/>
      <w:sz w:val="22"/>
    </w:rPr>
  </w:style>
  <w:style w:styleId="Style_20_ch" w:type="character">
    <w:name w:val="Heading"/>
    <w:link w:val="Style_20"/>
    <w:rPr>
      <w:rFonts w:ascii="Arial" w:hAnsi="Arial"/>
      <w:b w:val="1"/>
      <w:sz w:val="22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ind/>
      <w:jc w:val="center"/>
      <w:outlineLvl w:val="0"/>
    </w:pPr>
    <w:rPr>
      <w:b w:val="1"/>
      <w:caps w:val="1"/>
      <w:color w:val="000000"/>
      <w:spacing w:val="-1"/>
      <w:sz w:val="24"/>
    </w:rPr>
  </w:style>
  <w:style w:styleId="Style_21_ch" w:type="character">
    <w:name w:val="heading 1"/>
    <w:basedOn w:val="Style_4_ch"/>
    <w:link w:val="Style_21"/>
    <w:rPr>
      <w:b w:val="1"/>
      <w:caps w:val="1"/>
      <w:color w:val="000000"/>
      <w:spacing w:val="-1"/>
      <w:sz w:val="24"/>
    </w:rPr>
  </w:style>
  <w:style w:styleId="Style_22" w:type="paragraph">
    <w:name w:val="Hyperlink"/>
    <w:link w:val="Style_22_ch"/>
    <w:rPr>
      <w:color w:val="002680"/>
      <w:u w:val="single"/>
    </w:rPr>
  </w:style>
  <w:style w:styleId="Style_22_ch" w:type="character">
    <w:name w:val="Hyperlink"/>
    <w:link w:val="Style_22"/>
    <w:rPr>
      <w:color w:val="002680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Знак Знак Знак Знак"/>
    <w:basedOn w:val="Style_4"/>
    <w:link w:val="Style_26_ch"/>
    <w:pPr>
      <w:spacing w:after="160" w:line="240" w:lineRule="exact"/>
      <w:ind/>
    </w:pPr>
    <w:rPr>
      <w:sz w:val="20"/>
    </w:rPr>
  </w:style>
  <w:style w:styleId="Style_26_ch" w:type="character">
    <w:name w:val="Знак Знак Знак Знак"/>
    <w:basedOn w:val="Style_4_ch"/>
    <w:link w:val="Style_26"/>
    <w:rPr>
      <w:sz w:val="2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 Знак Знак Знак Знак"/>
    <w:basedOn w:val="Style_4"/>
    <w:link w:val="Style_30_ch"/>
    <w:pPr>
      <w:spacing w:after="160" w:line="240" w:lineRule="exact"/>
      <w:ind/>
    </w:pPr>
    <w:rPr>
      <w:sz w:val="20"/>
    </w:rPr>
  </w:style>
  <w:style w:styleId="Style_30_ch" w:type="character">
    <w:name w:val=" Знак Знак Знак Знак"/>
    <w:basedOn w:val="Style_4_ch"/>
    <w:link w:val="Style_30"/>
    <w:rPr>
      <w:sz w:val="20"/>
    </w:rPr>
  </w:style>
  <w:style w:styleId="Style_31" w:type="paragraph">
    <w:name w:val="Заголовок своего сообщения"/>
    <w:link w:val="Style_31_ch"/>
    <w:rPr>
      <w:b w:val="1"/>
      <w:color w:val="26282F"/>
    </w:rPr>
  </w:style>
  <w:style w:styleId="Style_31_ch" w:type="character">
    <w:name w:val="Заголовок своего сообщения"/>
    <w:link w:val="Style_31"/>
    <w:rPr>
      <w:b w:val="1"/>
      <w:color w:val="26282F"/>
    </w:rPr>
  </w:style>
  <w:style w:styleId="Style_32" w:type="paragraph">
    <w:name w:val="footer"/>
    <w:basedOn w:val="Style_4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4_ch"/>
    <w:link w:val="Style_32"/>
  </w:style>
  <w:style w:styleId="Style_33" w:type="paragraph">
    <w:name w:val="Subtitle"/>
    <w:basedOn w:val="Style_4"/>
    <w:link w:val="Style_33_ch"/>
    <w:uiPriority w:val="11"/>
    <w:qFormat/>
    <w:pPr>
      <w:ind/>
      <w:jc w:val="center"/>
    </w:pPr>
    <w:rPr>
      <w:b w:val="1"/>
    </w:rPr>
  </w:style>
  <w:style w:styleId="Style_33_ch" w:type="character">
    <w:name w:val="Subtitle"/>
    <w:basedOn w:val="Style_4_ch"/>
    <w:link w:val="Style_33"/>
    <w:rPr>
      <w:b w:val="1"/>
    </w:rPr>
  </w:style>
  <w:style w:styleId="Style_34" w:type="paragraph">
    <w:name w:val="Нормальный (таблица)"/>
    <w:basedOn w:val="Style_4"/>
    <w:next w:val="Style_4"/>
    <w:link w:val="Style_34_ch"/>
    <w:pPr>
      <w:widowControl w:val="0"/>
      <w:ind/>
      <w:jc w:val="both"/>
    </w:pPr>
    <w:rPr>
      <w:rFonts w:ascii="Arial" w:hAnsi="Arial"/>
      <w:sz w:val="24"/>
    </w:rPr>
  </w:style>
  <w:style w:styleId="Style_34_ch" w:type="character">
    <w:name w:val="Нормальный (таблица)"/>
    <w:basedOn w:val="Style_4_ch"/>
    <w:link w:val="Style_34"/>
    <w:rPr>
      <w:rFonts w:ascii="Arial" w:hAnsi="Arial"/>
      <w:sz w:val="24"/>
    </w:rPr>
  </w:style>
  <w:style w:styleId="Style_35" w:type="paragraph">
    <w:name w:val="ConsPlusCell"/>
    <w:link w:val="Style_35_ch"/>
    <w:rPr>
      <w:rFonts w:ascii="Arial" w:hAnsi="Arial"/>
    </w:rPr>
  </w:style>
  <w:style w:styleId="Style_35_ch" w:type="character">
    <w:name w:val="ConsPlusCell"/>
    <w:link w:val="Style_35"/>
    <w:rPr>
      <w:rFonts w:ascii="Arial" w:hAnsi="Arial"/>
    </w:rPr>
  </w:style>
  <w:style w:styleId="Style_36" w:type="paragraph">
    <w:name w:val="Цветовое выделение"/>
    <w:link w:val="Style_36_ch"/>
    <w:rPr>
      <w:b w:val="1"/>
      <w:color w:val="26282F"/>
      <w:sz w:val="26"/>
    </w:rPr>
  </w:style>
  <w:style w:styleId="Style_36_ch" w:type="character">
    <w:name w:val="Цветовое выделение"/>
    <w:link w:val="Style_36"/>
    <w:rPr>
      <w:b w:val="1"/>
      <w:color w:val="26282F"/>
      <w:sz w:val="26"/>
    </w:rPr>
  </w:style>
  <w:style w:styleId="Style_3" w:type="paragraph">
    <w:name w:val="Title"/>
    <w:basedOn w:val="Style_4"/>
    <w:link w:val="Style_3_ch"/>
    <w:uiPriority w:val="10"/>
    <w:qFormat/>
    <w:pPr>
      <w:ind/>
      <w:jc w:val="center"/>
    </w:pPr>
    <w:rPr>
      <w:b w:val="1"/>
      <w:sz w:val="32"/>
    </w:rPr>
  </w:style>
  <w:style w:styleId="Style_3_ch" w:type="character">
    <w:name w:val="Title"/>
    <w:basedOn w:val="Style_4_ch"/>
    <w:link w:val="Style_3"/>
    <w:rPr>
      <w:b w:val="1"/>
      <w:sz w:val="32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basedOn w:val="Style_4"/>
    <w:next w:val="Style_4"/>
    <w:link w:val="Style_38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38_ch" w:type="character">
    <w:name w:val="heading 2"/>
    <w:basedOn w:val="Style_4_ch"/>
    <w:link w:val="Style_38"/>
    <w:rPr>
      <w:rFonts w:ascii="Arial" w:hAnsi="Arial"/>
      <w:b w:val="1"/>
      <w:i w:val="1"/>
    </w:rPr>
  </w:style>
  <w:style w:styleId="Style_39" w:type="paragraph">
    <w:name w:val="Balloon Text"/>
    <w:basedOn w:val="Style_4"/>
    <w:link w:val="Style_39_ch"/>
    <w:rPr>
      <w:rFonts w:ascii="Tahoma" w:hAnsi="Tahoma"/>
      <w:sz w:val="16"/>
    </w:rPr>
  </w:style>
  <w:style w:styleId="Style_39_ch" w:type="character">
    <w:name w:val="Balloon Text"/>
    <w:basedOn w:val="Style_4_ch"/>
    <w:link w:val="Style_39"/>
    <w:rPr>
      <w:rFonts w:ascii="Tahoma" w:hAnsi="Tahoma"/>
      <w:sz w:val="16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4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2026-01-30T12:49:14Z</dcterms:modified>
</cp:coreProperties>
</file>