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Информация об участниках отбора, прошедшего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8 ч. 00 м. по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rPr>
          <w:sz w:val="24"/>
          <w:szCs w:val="24"/>
        </w:rPr>
      </w:pPr>
      <w:r>
        <w:rPr/>
      </w:r>
    </w:p>
    <w:tbl>
      <w:tblPr>
        <w:tblStyle w:val="a3"/>
        <w:tblW w:w="97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549"/>
        <w:gridCol w:w="1949"/>
        <w:gridCol w:w="558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Вера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Андрей Николаевич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Сокольцова Светлана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Александр Алексеевич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Чакветадзе Гугули  Ардашиловна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Кондаурова Ирина Александровна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Айдемирова  Еганя Сеидгусеновна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Мехрабова  Гюльзаман  Мусаевна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Сарженко Алла Николаевна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Щеголь Андрей Иванович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Требушняя Олеся Юрьевна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Бойко Сергей Александрович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Баева  Любовь Михайловна</w:t>
            </w:r>
          </w:p>
        </w:tc>
      </w:tr>
      <w:tr>
        <w:trPr>
          <w:trHeight w:val="268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</w:tr>
      <w:tr>
        <w:trPr>
          <w:trHeight w:val="327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222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Пойденко Владимир Евгеньевич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 Николаевич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Максюта Геннадий  Александрович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</w:tr>
      <w:tr>
        <w:trPr>
          <w:trHeight w:val="572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</w:tr>
      <w:tr>
        <w:trPr>
          <w:trHeight w:val="338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Заболотняя Наталья Михайловна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Виталий Александрович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Е.В.Рымарь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2</Pages>
  <Words>442</Words>
  <Characters>3091</Characters>
  <CharactersWithSpaces>3571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2022-12-12T10:22:00Z</dcterms:created>
  <dc:creator>Рымарь</dc:creator>
  <dc:description/>
  <dc:language>ru-RU</dc:language>
  <cp:lastModifiedBy/>
  <cp:lastPrinted>2021-09-29T06:24:00Z</cp:lastPrinted>
  <dcterms:modified xsi:type="dcterms:W3CDTF">2023-11-16T15:25:01Z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