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b w:val="0"/>
          <w:color w:val="000000" w:themeColor="text1"/>
          <w:sz w:val="28"/>
        </w:rPr>
        <w:tab/>
        <w:tab/>
        <w:tab/>
        <w:tab/>
        <w:t xml:space="preserve">                                  </w:t>
      </w:r>
      <w:r>
        <w:rPr>
          <w:b w:val="0"/>
          <w:bCs w:val="0"/>
          <w:color w:val="000000" w:themeColor="text1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к решению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14:ligatures w14:val="none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14:ligatures w14:val="none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Ленинградский муниципальный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округ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от 17.07.2025 г.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№ 97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14:ligatures w14:val="none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</w:t>
        <w:tab/>
        <w:tab/>
        <w:tab/>
        <w:tab/>
        <w:tab/>
        <w:tab/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37"/>
        <w:contextualSpacing/>
        <w:ind w:left="5811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5669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. № 89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contextualSpacing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5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695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Новоуманском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Новоуманский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поселок Октябрьский, хутор Реконструктор,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поселок Изобильный, хутор Березанский, поселок Ближний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47"/>
        <w:contextualSpacing/>
        <w:ind w:left="0" w:right="29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1.5.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непосредственно подчинен 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1.7. Юридический адрес Отдела:</w:t>
      </w:r>
      <w:r>
        <w:rPr>
          <w:rFonts w:ascii="FreeSerif" w:hAnsi="FreeSerif" w:eastAsia="FreeSerif" w:cs="FreeSerif"/>
          <w:sz w:val="28"/>
          <w:szCs w:val="28"/>
        </w:rPr>
        <w:t xml:space="preserve"> 353761, Краснодарский край, Ленинградский муниципальный округ, поселок Октябрьский, Пионерский пер., д.9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353761, Краснодарский край, Ленинградский муниципальный округ, поселок Октябрьский, Пионерский пер., д.9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Новоуманский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Сокращенное наименование Отдела: Новоуманский</w:t>
      </w:r>
      <w:r>
        <w:rPr>
          <w:rFonts w:ascii="FreeSerif" w:hAnsi="FreeSerif" w:eastAsia="FreeSerif" w:cs="FreeSerif"/>
          <w:sz w:val="28"/>
          <w:szCs w:val="28"/>
        </w:rPr>
        <w:t xml:space="preserve"> ТО АЛМО.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Функции и полномочия учредителя от имени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Имущество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47"/>
        <w:contextualSpacing/>
        <w:ind w:left="0" w:right="29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29" w:firstLine="709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79"/>
        <w:contextualSpacing/>
        <w:ind w:left="0" w:firstLine="709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1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ганизации деятельности по накоплению (в том числе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рассматривает жалобы, заявления и обращения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ивания памяти погибших при защите Отечества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Издавать правовые акты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ю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 курирующему вопросы внутренней политики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36"/>
        <w:contextualSpacing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80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80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9)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10)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12) участвует в осуществлении муниципального контроля за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15) организует мероприятия по отлову безнадзорных животных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16) участвует в организации 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82"/>
    <w:link w:val="750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82"/>
    <w:link w:val="810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82"/>
    <w:link w:val="716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8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82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82"/>
    <w:link w:val="814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82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82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82"/>
    <w:link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82"/>
    <w:link w:val="744"/>
    <w:uiPriority w:val="99"/>
  </w:style>
  <w:style w:type="character" w:styleId="684">
    <w:name w:val="Caption Char"/>
    <w:basedOn w:val="782"/>
    <w:link w:val="728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3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46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toc 2"/>
    <w:basedOn w:val="687"/>
    <w:next w:val="687"/>
    <w:link w:val="690"/>
    <w:uiPriority w:val="39"/>
    <w:pPr>
      <w:ind w:left="283"/>
      <w:spacing w:after="57"/>
      <w:widowControl/>
    </w:pPr>
  </w:style>
  <w:style w:type="character" w:styleId="690">
    <w:name w:val="toc 2"/>
    <w:basedOn w:val="688"/>
    <w:link w:val="689"/>
  </w:style>
  <w:style w:type="paragraph" w:styleId="691">
    <w:name w:val="Title Char"/>
    <w:basedOn w:val="781"/>
    <w:link w:val="692"/>
    <w:rPr>
      <w:sz w:val="48"/>
    </w:rPr>
  </w:style>
  <w:style w:type="character" w:styleId="692">
    <w:name w:val="Title Char"/>
    <w:basedOn w:val="782"/>
    <w:link w:val="691"/>
    <w:rPr>
      <w:sz w:val="48"/>
    </w:rPr>
  </w:style>
  <w:style w:type="paragraph" w:styleId="693">
    <w:name w:val="table of figures"/>
    <w:basedOn w:val="687"/>
    <w:next w:val="687"/>
    <w:link w:val="694"/>
  </w:style>
  <w:style w:type="character" w:styleId="694">
    <w:name w:val="table of figures"/>
    <w:basedOn w:val="688"/>
    <w:link w:val="693"/>
  </w:style>
  <w:style w:type="paragraph" w:styleId="695">
    <w:name w:val="No Spacing"/>
    <w:link w:val="696"/>
    <w:pPr>
      <w:spacing w:after="0" w:line="240" w:lineRule="auto"/>
      <w:widowControl/>
    </w:pPr>
  </w:style>
  <w:style w:type="character" w:styleId="696">
    <w:name w:val="No Spacing"/>
    <w:link w:val="695"/>
  </w:style>
  <w:style w:type="paragraph" w:styleId="697">
    <w:name w:val="Normal (Web)"/>
    <w:basedOn w:val="687"/>
    <w:link w:val="698"/>
    <w:pPr>
      <w:spacing w:beforeAutospacing="1" w:afterAutospacing="1"/>
      <w:widowControl/>
    </w:pPr>
    <w:rPr>
      <w:sz w:val="24"/>
    </w:rPr>
  </w:style>
  <w:style w:type="character" w:styleId="698">
    <w:name w:val="Normal (Web)"/>
    <w:basedOn w:val="688"/>
    <w:link w:val="697"/>
    <w:rPr>
      <w:sz w:val="24"/>
    </w:rPr>
  </w:style>
  <w:style w:type="paragraph" w:styleId="699">
    <w:name w:val="toc 4"/>
    <w:basedOn w:val="687"/>
    <w:next w:val="687"/>
    <w:link w:val="700"/>
    <w:uiPriority w:val="39"/>
    <w:pPr>
      <w:ind w:left="850"/>
      <w:spacing w:after="57"/>
      <w:widowControl/>
    </w:pPr>
  </w:style>
  <w:style w:type="character" w:styleId="700">
    <w:name w:val="toc 4"/>
    <w:basedOn w:val="688"/>
    <w:link w:val="699"/>
  </w:style>
  <w:style w:type="paragraph" w:styleId="701">
    <w:name w:val="Заголовок 91"/>
    <w:basedOn w:val="687"/>
    <w:next w:val="687"/>
    <w:link w:val="702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02">
    <w:name w:val="Заголовок 91"/>
    <w:basedOn w:val="688"/>
    <w:link w:val="701"/>
    <w:rPr>
      <w:rFonts w:ascii="Arial" w:hAnsi="Arial"/>
      <w:i/>
      <w:sz w:val="21"/>
    </w:rPr>
  </w:style>
  <w:style w:type="paragraph" w:styleId="703">
    <w:name w:val="Heading 7"/>
    <w:basedOn w:val="687"/>
    <w:next w:val="687"/>
    <w:link w:val="70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4">
    <w:name w:val="Heading 7"/>
    <w:basedOn w:val="688"/>
    <w:link w:val="703"/>
    <w:rPr>
      <w:rFonts w:ascii="Arial" w:hAnsi="Arial"/>
      <w:b/>
      <w:i/>
      <w:sz w:val="22"/>
    </w:rPr>
  </w:style>
  <w:style w:type="paragraph" w:styleId="705">
    <w:name w:val="toc 6"/>
    <w:basedOn w:val="687"/>
    <w:next w:val="687"/>
    <w:link w:val="706"/>
    <w:uiPriority w:val="39"/>
    <w:pPr>
      <w:ind w:left="1417"/>
      <w:spacing w:after="57"/>
      <w:widowControl/>
    </w:pPr>
  </w:style>
  <w:style w:type="character" w:styleId="706">
    <w:name w:val="toc 6"/>
    <w:basedOn w:val="688"/>
    <w:link w:val="705"/>
  </w:style>
  <w:style w:type="paragraph" w:styleId="707">
    <w:name w:val="toc 7"/>
    <w:basedOn w:val="687"/>
    <w:next w:val="687"/>
    <w:link w:val="708"/>
    <w:uiPriority w:val="39"/>
    <w:pPr>
      <w:ind w:left="1701"/>
      <w:spacing w:after="57"/>
      <w:widowControl/>
    </w:pPr>
  </w:style>
  <w:style w:type="character" w:styleId="708">
    <w:name w:val="toc 7"/>
    <w:basedOn w:val="688"/>
    <w:link w:val="707"/>
  </w:style>
  <w:style w:type="paragraph" w:styleId="709">
    <w:name w:val="Quote Char"/>
    <w:link w:val="710"/>
    <w:rPr>
      <w:i/>
    </w:rPr>
  </w:style>
  <w:style w:type="character" w:styleId="710">
    <w:name w:val="Quote Char"/>
    <w:link w:val="709"/>
    <w:rPr>
      <w:i/>
    </w:rPr>
  </w:style>
  <w:style w:type="paragraph" w:styleId="711">
    <w:name w:val="Заголовок 51"/>
    <w:basedOn w:val="687"/>
    <w:next w:val="687"/>
    <w:link w:val="712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12">
    <w:name w:val="Заголовок 51"/>
    <w:basedOn w:val="688"/>
    <w:link w:val="711"/>
    <w:rPr>
      <w:rFonts w:ascii="Arial" w:hAnsi="Arial"/>
      <w:b/>
      <w:sz w:val="24"/>
    </w:rPr>
  </w:style>
  <w:style w:type="paragraph" w:styleId="713">
    <w:name w:val="Endnote"/>
    <w:basedOn w:val="687"/>
    <w:link w:val="714"/>
  </w:style>
  <w:style w:type="character" w:styleId="714">
    <w:name w:val="Endnote"/>
    <w:basedOn w:val="688"/>
    <w:link w:val="713"/>
  </w:style>
  <w:style w:type="paragraph" w:styleId="715">
    <w:name w:val="Heading 3"/>
    <w:basedOn w:val="687"/>
    <w:next w:val="687"/>
    <w:link w:val="716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6">
    <w:name w:val="Heading 3"/>
    <w:basedOn w:val="688"/>
    <w:link w:val="715"/>
    <w:rPr>
      <w:rFonts w:ascii="Arial" w:hAnsi="Arial"/>
      <w:sz w:val="30"/>
    </w:rPr>
  </w:style>
  <w:style w:type="paragraph" w:styleId="717">
    <w:name w:val="Верхний колонтитул1"/>
    <w:basedOn w:val="687"/>
    <w:link w:val="718"/>
    <w:pPr>
      <w:widowControl/>
      <w:tabs>
        <w:tab w:val="center" w:pos="7143" w:leader="none"/>
        <w:tab w:val="right" w:pos="14287" w:leader="none"/>
      </w:tabs>
    </w:pPr>
  </w:style>
  <w:style w:type="character" w:styleId="718">
    <w:name w:val="Верхний колонтитул1"/>
    <w:basedOn w:val="688"/>
    <w:link w:val="717"/>
  </w:style>
  <w:style w:type="paragraph" w:styleId="719">
    <w:name w:val="Heading 9"/>
    <w:basedOn w:val="687"/>
    <w:next w:val="687"/>
    <w:link w:val="720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0">
    <w:name w:val="Heading 9"/>
    <w:basedOn w:val="688"/>
    <w:link w:val="719"/>
    <w:rPr>
      <w:rFonts w:ascii="Arial" w:hAnsi="Arial"/>
      <w:i/>
      <w:sz w:val="21"/>
    </w:rPr>
  </w:style>
  <w:style w:type="paragraph" w:styleId="721">
    <w:name w:val="Header"/>
    <w:basedOn w:val="687"/>
    <w:link w:val="722"/>
    <w:pPr>
      <w:widowControl/>
      <w:tabs>
        <w:tab w:val="center" w:pos="4677" w:leader="none"/>
        <w:tab w:val="right" w:pos="9355" w:leader="none"/>
      </w:tabs>
    </w:pPr>
  </w:style>
  <w:style w:type="character" w:styleId="722">
    <w:name w:val="Header"/>
    <w:basedOn w:val="688"/>
    <w:link w:val="721"/>
  </w:style>
  <w:style w:type="paragraph" w:styleId="723">
    <w:name w:val="Subtitle Char"/>
    <w:basedOn w:val="781"/>
    <w:link w:val="724"/>
    <w:rPr>
      <w:sz w:val="24"/>
    </w:rPr>
  </w:style>
  <w:style w:type="character" w:styleId="724">
    <w:name w:val="Subtitle Char"/>
    <w:basedOn w:val="782"/>
    <w:link w:val="723"/>
    <w:rPr>
      <w:sz w:val="24"/>
    </w:rPr>
  </w:style>
  <w:style w:type="paragraph" w:styleId="725">
    <w:name w:val="Intense Quote"/>
    <w:basedOn w:val="687"/>
    <w:next w:val="687"/>
    <w:link w:val="726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"/>
    <w:basedOn w:val="688"/>
    <w:link w:val="725"/>
    <w:rPr>
      <w:i/>
    </w:rPr>
  </w:style>
  <w:style w:type="paragraph" w:styleId="727">
    <w:name w:val="Caption"/>
    <w:basedOn w:val="687"/>
    <w:next w:val="687"/>
    <w:link w:val="728"/>
    <w:pPr>
      <w:spacing w:line="276" w:lineRule="auto"/>
      <w:widowControl/>
    </w:pPr>
    <w:rPr>
      <w:b/>
      <w:color w:val="5b9bd5" w:themeColor="accent1"/>
      <w:sz w:val="18"/>
    </w:rPr>
  </w:style>
  <w:style w:type="character" w:styleId="728">
    <w:name w:val="Caption"/>
    <w:basedOn w:val="688"/>
    <w:link w:val="727"/>
    <w:rPr>
      <w:b/>
      <w:color w:val="5b9bd5" w:themeColor="accent1"/>
      <w:sz w:val="18"/>
    </w:rPr>
  </w:style>
  <w:style w:type="paragraph" w:styleId="729">
    <w:name w:val="Footnote Text Char"/>
    <w:link w:val="730"/>
    <w:rPr>
      <w:sz w:val="18"/>
    </w:rPr>
  </w:style>
  <w:style w:type="character" w:styleId="730">
    <w:name w:val="Footnote Text Char"/>
    <w:link w:val="729"/>
    <w:rPr>
      <w:sz w:val="18"/>
    </w:rPr>
  </w:style>
  <w:style w:type="paragraph" w:styleId="731">
    <w:name w:val="toc 3"/>
    <w:basedOn w:val="687"/>
    <w:next w:val="687"/>
    <w:link w:val="732"/>
    <w:uiPriority w:val="39"/>
    <w:pPr>
      <w:ind w:left="567"/>
      <w:spacing w:after="57"/>
      <w:widowControl/>
    </w:pPr>
  </w:style>
  <w:style w:type="character" w:styleId="732">
    <w:name w:val="toc 3"/>
    <w:basedOn w:val="688"/>
    <w:link w:val="731"/>
  </w:style>
  <w:style w:type="paragraph" w:styleId="733">
    <w:name w:val="Footer"/>
    <w:basedOn w:val="687"/>
    <w:link w:val="734"/>
    <w:pPr>
      <w:widowControl/>
      <w:tabs>
        <w:tab w:val="center" w:pos="4677" w:leader="none"/>
        <w:tab w:val="right" w:pos="9355" w:leader="none"/>
      </w:tabs>
    </w:pPr>
  </w:style>
  <w:style w:type="character" w:styleId="734">
    <w:name w:val="Footer"/>
    <w:basedOn w:val="688"/>
    <w:link w:val="733"/>
  </w:style>
  <w:style w:type="paragraph" w:styleId="735">
    <w:name w:val="Body Text"/>
    <w:basedOn w:val="687"/>
    <w:link w:val="736"/>
    <w:pPr>
      <w:jc w:val="both"/>
      <w:widowControl/>
    </w:pPr>
    <w:rPr>
      <w:sz w:val="28"/>
    </w:rPr>
  </w:style>
  <w:style w:type="character" w:styleId="736">
    <w:name w:val="Body Text"/>
    <w:basedOn w:val="688"/>
    <w:link w:val="735"/>
    <w:rPr>
      <w:sz w:val="28"/>
    </w:rPr>
  </w:style>
  <w:style w:type="paragraph" w:styleId="737">
    <w:name w:val="Название объекта11"/>
    <w:basedOn w:val="687"/>
    <w:link w:val="738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38">
    <w:name w:val="Название объекта11"/>
    <w:basedOn w:val="688"/>
    <w:link w:val="737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39">
    <w:name w:val="Заголовок 31"/>
    <w:basedOn w:val="687"/>
    <w:next w:val="687"/>
    <w:link w:val="740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40">
    <w:name w:val="Заголовок 31"/>
    <w:basedOn w:val="688"/>
    <w:link w:val="739"/>
    <w:rPr>
      <w:rFonts w:ascii="Arial" w:hAnsi="Arial"/>
      <w:sz w:val="30"/>
    </w:rPr>
  </w:style>
  <w:style w:type="paragraph" w:styleId="741">
    <w:name w:val="Heading 5"/>
    <w:basedOn w:val="687"/>
    <w:next w:val="687"/>
    <w:link w:val="742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2">
    <w:name w:val="Heading 5"/>
    <w:basedOn w:val="688"/>
    <w:link w:val="741"/>
    <w:rPr>
      <w:rFonts w:ascii="Arial" w:hAnsi="Arial"/>
      <w:b/>
      <w:sz w:val="24"/>
    </w:rPr>
  </w:style>
  <w:style w:type="paragraph" w:styleId="743">
    <w:name w:val="Header"/>
    <w:basedOn w:val="687"/>
    <w:link w:val="744"/>
    <w:pPr>
      <w:widowControl/>
      <w:tabs>
        <w:tab w:val="center" w:pos="7143" w:leader="none"/>
        <w:tab w:val="right" w:pos="14287" w:leader="none"/>
      </w:tabs>
    </w:pPr>
  </w:style>
  <w:style w:type="character" w:styleId="744">
    <w:name w:val="Header"/>
    <w:basedOn w:val="688"/>
    <w:link w:val="743"/>
  </w:style>
  <w:style w:type="paragraph" w:styleId="745">
    <w:name w:val="Endnote Text Char"/>
    <w:link w:val="746"/>
    <w:rPr>
      <w:sz w:val="20"/>
    </w:rPr>
  </w:style>
  <w:style w:type="character" w:styleId="746">
    <w:name w:val="Endnote Text Char"/>
    <w:link w:val="745"/>
    <w:rPr>
      <w:sz w:val="20"/>
    </w:rPr>
  </w:style>
  <w:style w:type="paragraph" w:styleId="747">
    <w:name w:val="ConsPlusNormal"/>
    <w:link w:val="748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48">
    <w:name w:val="ConsPlusNormal"/>
    <w:link w:val="747"/>
    <w:rPr>
      <w:rFonts w:ascii="Arial" w:hAnsi="Arial"/>
      <w:sz w:val="20"/>
    </w:rPr>
  </w:style>
  <w:style w:type="paragraph" w:styleId="749">
    <w:name w:val="Heading 1"/>
    <w:basedOn w:val="687"/>
    <w:next w:val="687"/>
    <w:link w:val="75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0">
    <w:name w:val="Heading 1"/>
    <w:basedOn w:val="688"/>
    <w:link w:val="749"/>
    <w:rPr>
      <w:rFonts w:ascii="Arial" w:hAnsi="Arial"/>
      <w:sz w:val="40"/>
    </w:rPr>
  </w:style>
  <w:style w:type="paragraph" w:styleId="751">
    <w:name w:val="footnote reference"/>
    <w:basedOn w:val="781"/>
    <w:link w:val="752"/>
    <w:rPr>
      <w:vertAlign w:val="superscript"/>
    </w:rPr>
  </w:style>
  <w:style w:type="character" w:styleId="752">
    <w:name w:val="footnote reference"/>
    <w:basedOn w:val="782"/>
    <w:link w:val="751"/>
    <w:rPr>
      <w:vertAlign w:val="superscript"/>
    </w:rPr>
  </w:style>
  <w:style w:type="paragraph" w:styleId="753">
    <w:name w:val="Hyperlink"/>
    <w:link w:val="754"/>
    <w:rPr>
      <w:color w:val="0563c1" w:themeColor="hyperlink"/>
      <w:u w:val="single"/>
    </w:rPr>
  </w:style>
  <w:style w:type="character" w:styleId="754">
    <w:name w:val="Hyperlink"/>
    <w:link w:val="753"/>
    <w:rPr>
      <w:color w:val="0563c1" w:themeColor="hyperlink"/>
      <w:u w:val="single"/>
    </w:rPr>
  </w:style>
  <w:style w:type="paragraph" w:styleId="755">
    <w:name w:val="Footnote"/>
    <w:basedOn w:val="687"/>
    <w:link w:val="756"/>
    <w:pPr>
      <w:spacing w:after="40"/>
      <w:widowControl/>
    </w:pPr>
    <w:rPr>
      <w:sz w:val="18"/>
    </w:rPr>
  </w:style>
  <w:style w:type="character" w:styleId="756">
    <w:name w:val="Footnote"/>
    <w:basedOn w:val="688"/>
    <w:link w:val="755"/>
    <w:rPr>
      <w:sz w:val="18"/>
    </w:rPr>
  </w:style>
  <w:style w:type="paragraph" w:styleId="757">
    <w:name w:val="Heading 8"/>
    <w:basedOn w:val="687"/>
    <w:next w:val="687"/>
    <w:link w:val="75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8">
    <w:name w:val="Heading 8"/>
    <w:basedOn w:val="688"/>
    <w:link w:val="757"/>
    <w:rPr>
      <w:rFonts w:ascii="Arial" w:hAnsi="Arial"/>
      <w:i/>
      <w:sz w:val="22"/>
    </w:rPr>
  </w:style>
  <w:style w:type="paragraph" w:styleId="759">
    <w:name w:val="Заголовок 71"/>
    <w:basedOn w:val="687"/>
    <w:next w:val="687"/>
    <w:link w:val="760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60">
    <w:name w:val="Заголовок 71"/>
    <w:basedOn w:val="688"/>
    <w:link w:val="759"/>
    <w:rPr>
      <w:rFonts w:ascii="Arial" w:hAnsi="Arial"/>
      <w:b/>
      <w:i/>
      <w:sz w:val="22"/>
    </w:rPr>
  </w:style>
  <w:style w:type="paragraph" w:styleId="761">
    <w:name w:val="Заголовок 41"/>
    <w:basedOn w:val="687"/>
    <w:next w:val="687"/>
    <w:link w:val="762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62">
    <w:name w:val="Заголовок 41"/>
    <w:basedOn w:val="688"/>
    <w:link w:val="761"/>
    <w:rPr>
      <w:rFonts w:ascii="Arial" w:hAnsi="Arial"/>
      <w:b/>
      <w:sz w:val="26"/>
    </w:rPr>
  </w:style>
  <w:style w:type="paragraph" w:styleId="763">
    <w:name w:val="toc 1"/>
    <w:basedOn w:val="687"/>
    <w:next w:val="687"/>
    <w:link w:val="764"/>
    <w:uiPriority w:val="39"/>
    <w:pPr>
      <w:spacing w:after="57"/>
      <w:widowControl/>
    </w:pPr>
  </w:style>
  <w:style w:type="character" w:styleId="764">
    <w:name w:val="toc 1"/>
    <w:basedOn w:val="688"/>
    <w:link w:val="763"/>
  </w:style>
  <w:style w:type="paragraph" w:styleId="765">
    <w:name w:val="Header and Footer"/>
    <w:link w:val="766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6">
    <w:name w:val="Header and Footer"/>
    <w:link w:val="765"/>
    <w:rPr>
      <w:rFonts w:ascii="XO Thames" w:hAnsi="XO Thames"/>
      <w:sz w:val="28"/>
    </w:rPr>
  </w:style>
  <w:style w:type="paragraph" w:styleId="767">
    <w:name w:val="endnote reference"/>
    <w:basedOn w:val="781"/>
    <w:link w:val="768"/>
    <w:rPr>
      <w:vertAlign w:val="superscript"/>
    </w:rPr>
  </w:style>
  <w:style w:type="character" w:styleId="768">
    <w:name w:val="endnote reference"/>
    <w:basedOn w:val="782"/>
    <w:link w:val="767"/>
    <w:rPr>
      <w:vertAlign w:val="superscript"/>
    </w:rPr>
  </w:style>
  <w:style w:type="paragraph" w:styleId="769">
    <w:name w:val="Заголовок 11"/>
    <w:basedOn w:val="687"/>
    <w:next w:val="687"/>
    <w:link w:val="770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70">
    <w:name w:val="Заголовок 11"/>
    <w:basedOn w:val="688"/>
    <w:link w:val="769"/>
    <w:rPr>
      <w:rFonts w:ascii="Arial" w:hAnsi="Arial"/>
      <w:sz w:val="40"/>
    </w:rPr>
  </w:style>
  <w:style w:type="paragraph" w:styleId="771">
    <w:name w:val="docdata"/>
    <w:link w:val="772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72">
    <w:name w:val="docdata"/>
    <w:link w:val="771"/>
    <w:rPr>
      <w:rFonts w:ascii="Times New Roman" w:hAnsi="Times New Roman"/>
      <w:sz w:val="24"/>
    </w:rPr>
  </w:style>
  <w:style w:type="paragraph" w:styleId="773">
    <w:name w:val="Balloon Text"/>
    <w:basedOn w:val="687"/>
    <w:link w:val="774"/>
    <w:rPr>
      <w:rFonts w:ascii="Segoe UI" w:hAnsi="Segoe UI"/>
      <w:sz w:val="18"/>
    </w:rPr>
  </w:style>
  <w:style w:type="character" w:styleId="774">
    <w:name w:val="Balloon Text"/>
    <w:basedOn w:val="688"/>
    <w:link w:val="773"/>
    <w:rPr>
      <w:rFonts w:ascii="Segoe UI" w:hAnsi="Segoe UI"/>
      <w:sz w:val="18"/>
    </w:rPr>
  </w:style>
  <w:style w:type="paragraph" w:styleId="775">
    <w:name w:val="Intense Quote Char"/>
    <w:link w:val="776"/>
    <w:rPr>
      <w:i/>
    </w:rPr>
  </w:style>
  <w:style w:type="character" w:styleId="776">
    <w:name w:val="Intense Quote Char"/>
    <w:link w:val="775"/>
    <w:rPr>
      <w:i/>
    </w:rPr>
  </w:style>
  <w:style w:type="paragraph" w:styleId="777">
    <w:name w:val="toc 9"/>
    <w:basedOn w:val="687"/>
    <w:next w:val="687"/>
    <w:link w:val="778"/>
    <w:uiPriority w:val="39"/>
    <w:pPr>
      <w:ind w:left="2268"/>
      <w:spacing w:after="57"/>
      <w:widowControl/>
    </w:pPr>
  </w:style>
  <w:style w:type="character" w:styleId="778">
    <w:name w:val="toc 9"/>
    <w:basedOn w:val="688"/>
    <w:link w:val="777"/>
  </w:style>
  <w:style w:type="paragraph" w:styleId="779">
    <w:name w:val="List Paragraph"/>
    <w:basedOn w:val="687"/>
    <w:link w:val="780"/>
    <w:pPr>
      <w:contextualSpacing/>
      <w:ind w:left="720"/>
      <w:widowControl/>
    </w:pPr>
    <w:rPr>
      <w:sz w:val="28"/>
    </w:rPr>
  </w:style>
  <w:style w:type="character" w:styleId="780">
    <w:name w:val="List Paragraph"/>
    <w:basedOn w:val="688"/>
    <w:link w:val="779"/>
    <w:rPr>
      <w:sz w:val="28"/>
    </w:rPr>
  </w:style>
  <w:style w:type="paragraph" w:styleId="781">
    <w:name w:val="Default Paragraph Font"/>
    <w:link w:val="782"/>
  </w:style>
  <w:style w:type="character" w:styleId="782">
    <w:name w:val="Default Paragraph Font"/>
    <w:link w:val="781"/>
  </w:style>
  <w:style w:type="paragraph" w:styleId="783">
    <w:name w:val="ConsNormal"/>
    <w:link w:val="784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84">
    <w:name w:val="ConsNormal"/>
    <w:link w:val="783"/>
    <w:rPr>
      <w:rFonts w:ascii="Arial" w:hAnsi="Arial"/>
      <w:sz w:val="20"/>
    </w:rPr>
  </w:style>
  <w:style w:type="paragraph" w:styleId="785">
    <w:name w:val="toc 8"/>
    <w:basedOn w:val="687"/>
    <w:next w:val="687"/>
    <w:link w:val="786"/>
    <w:uiPriority w:val="39"/>
    <w:pPr>
      <w:ind w:left="1984"/>
      <w:spacing w:after="57"/>
      <w:widowControl/>
    </w:pPr>
  </w:style>
  <w:style w:type="character" w:styleId="786">
    <w:name w:val="toc 8"/>
    <w:basedOn w:val="688"/>
    <w:link w:val="785"/>
  </w:style>
  <w:style w:type="paragraph" w:styleId="787">
    <w:name w:val="Quote"/>
    <w:basedOn w:val="687"/>
    <w:next w:val="687"/>
    <w:link w:val="788"/>
    <w:pPr>
      <w:ind w:left="720" w:right="720"/>
      <w:widowControl/>
    </w:pPr>
    <w:rPr>
      <w:i/>
    </w:rPr>
  </w:style>
  <w:style w:type="character" w:styleId="788">
    <w:name w:val="Quote"/>
    <w:basedOn w:val="688"/>
    <w:link w:val="787"/>
    <w:rPr>
      <w:i/>
    </w:rPr>
  </w:style>
  <w:style w:type="paragraph" w:styleId="789">
    <w:name w:val="Название объекта1"/>
    <w:basedOn w:val="687"/>
    <w:next w:val="687"/>
    <w:link w:val="790"/>
    <w:pPr>
      <w:spacing w:line="276" w:lineRule="auto"/>
      <w:widowControl/>
    </w:pPr>
    <w:rPr>
      <w:b/>
      <w:color w:val="5b9bd5" w:themeColor="accent1"/>
      <w:sz w:val="18"/>
    </w:rPr>
  </w:style>
  <w:style w:type="character" w:styleId="790">
    <w:name w:val="Название объекта1"/>
    <w:basedOn w:val="688"/>
    <w:link w:val="789"/>
    <w:rPr>
      <w:b/>
      <w:color w:val="5b9bd5" w:themeColor="accent1"/>
      <w:sz w:val="18"/>
    </w:rPr>
  </w:style>
  <w:style w:type="paragraph" w:styleId="791">
    <w:name w:val="toc 5"/>
    <w:basedOn w:val="687"/>
    <w:next w:val="687"/>
    <w:link w:val="792"/>
    <w:uiPriority w:val="39"/>
    <w:pPr>
      <w:ind w:left="1134"/>
      <w:spacing w:after="57"/>
      <w:widowControl/>
    </w:pPr>
  </w:style>
  <w:style w:type="character" w:styleId="792">
    <w:name w:val="toc 5"/>
    <w:basedOn w:val="688"/>
    <w:link w:val="791"/>
  </w:style>
  <w:style w:type="paragraph" w:styleId="793">
    <w:name w:val="Заголовок 21"/>
    <w:basedOn w:val="687"/>
    <w:next w:val="687"/>
    <w:link w:val="794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94">
    <w:name w:val="Заголовок 21"/>
    <w:basedOn w:val="688"/>
    <w:link w:val="793"/>
    <w:rPr>
      <w:rFonts w:ascii="Arial" w:hAnsi="Arial"/>
      <w:sz w:val="34"/>
    </w:rPr>
  </w:style>
  <w:style w:type="paragraph" w:styleId="795">
    <w:name w:val="Заголовок 61"/>
    <w:basedOn w:val="687"/>
    <w:next w:val="687"/>
    <w:link w:val="796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96">
    <w:name w:val="Заголовок 61"/>
    <w:basedOn w:val="688"/>
    <w:link w:val="795"/>
    <w:rPr>
      <w:rFonts w:ascii="Arial" w:hAnsi="Arial"/>
      <w:b/>
      <w:sz w:val="22"/>
    </w:rPr>
  </w:style>
  <w:style w:type="paragraph" w:styleId="797">
    <w:name w:val="Заголовок 81"/>
    <w:basedOn w:val="687"/>
    <w:next w:val="687"/>
    <w:link w:val="798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98">
    <w:name w:val="Заголовок 81"/>
    <w:basedOn w:val="688"/>
    <w:link w:val="797"/>
    <w:rPr>
      <w:rFonts w:ascii="Arial" w:hAnsi="Arial"/>
      <w:i/>
      <w:sz w:val="22"/>
    </w:rPr>
  </w:style>
  <w:style w:type="paragraph" w:styleId="799">
    <w:name w:val="Subtitle"/>
    <w:basedOn w:val="687"/>
    <w:next w:val="687"/>
    <w:link w:val="800"/>
    <w:uiPriority w:val="11"/>
    <w:qFormat/>
    <w:pPr>
      <w:spacing w:before="200" w:after="200"/>
      <w:widowControl/>
    </w:pPr>
    <w:rPr>
      <w:sz w:val="24"/>
    </w:rPr>
  </w:style>
  <w:style w:type="character" w:styleId="800">
    <w:name w:val="Subtitle"/>
    <w:basedOn w:val="688"/>
    <w:link w:val="799"/>
    <w:rPr>
      <w:sz w:val="24"/>
    </w:rPr>
  </w:style>
  <w:style w:type="paragraph" w:styleId="801">
    <w:name w:val="Нижний колонтитул1"/>
    <w:basedOn w:val="687"/>
    <w:link w:val="802"/>
    <w:pPr>
      <w:widowControl/>
      <w:tabs>
        <w:tab w:val="center" w:pos="7143" w:leader="none"/>
        <w:tab w:val="right" w:pos="14287" w:leader="none"/>
      </w:tabs>
    </w:pPr>
  </w:style>
  <w:style w:type="character" w:styleId="802">
    <w:name w:val="Нижний колонтитул1"/>
    <w:basedOn w:val="688"/>
    <w:link w:val="801"/>
  </w:style>
  <w:style w:type="paragraph" w:styleId="803">
    <w:name w:val="Title"/>
    <w:basedOn w:val="687"/>
    <w:next w:val="687"/>
    <w:link w:val="80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4">
    <w:name w:val="Title"/>
    <w:basedOn w:val="688"/>
    <w:link w:val="803"/>
    <w:rPr>
      <w:sz w:val="48"/>
    </w:rPr>
  </w:style>
  <w:style w:type="paragraph" w:styleId="805">
    <w:name w:val="Heading 4"/>
    <w:basedOn w:val="687"/>
    <w:next w:val="687"/>
    <w:link w:val="80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6">
    <w:name w:val="Heading 4"/>
    <w:basedOn w:val="688"/>
    <w:link w:val="805"/>
    <w:rPr>
      <w:rFonts w:ascii="Arial" w:hAnsi="Arial"/>
      <w:b/>
      <w:sz w:val="26"/>
    </w:rPr>
  </w:style>
  <w:style w:type="paragraph" w:styleId="807">
    <w:name w:val="TOC Heading"/>
    <w:link w:val="808"/>
  </w:style>
  <w:style w:type="character" w:styleId="808">
    <w:name w:val="TOC Heading"/>
    <w:link w:val="807"/>
  </w:style>
  <w:style w:type="paragraph" w:styleId="809">
    <w:name w:val="Heading 2"/>
    <w:basedOn w:val="687"/>
    <w:next w:val="687"/>
    <w:link w:val="81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0">
    <w:name w:val="Heading 2"/>
    <w:basedOn w:val="688"/>
    <w:link w:val="809"/>
    <w:rPr>
      <w:rFonts w:ascii="Arial" w:hAnsi="Arial"/>
      <w:sz w:val="34"/>
    </w:rPr>
  </w:style>
  <w:style w:type="paragraph" w:styleId="811">
    <w:name w:val="Footer"/>
    <w:basedOn w:val="687"/>
    <w:link w:val="812"/>
    <w:pPr>
      <w:widowControl/>
      <w:tabs>
        <w:tab w:val="center" w:pos="7143" w:leader="none"/>
        <w:tab w:val="right" w:pos="14287" w:leader="none"/>
      </w:tabs>
    </w:pPr>
  </w:style>
  <w:style w:type="character" w:styleId="812">
    <w:name w:val="Footer"/>
    <w:basedOn w:val="688"/>
    <w:link w:val="811"/>
  </w:style>
  <w:style w:type="paragraph" w:styleId="813">
    <w:name w:val="Heading 6"/>
    <w:basedOn w:val="687"/>
    <w:next w:val="687"/>
    <w:link w:val="814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4">
    <w:name w:val="Heading 6"/>
    <w:basedOn w:val="688"/>
    <w:link w:val="813"/>
    <w:rPr>
      <w:rFonts w:ascii="Arial" w:hAnsi="Arial"/>
      <w:b/>
      <w:sz w:val="22"/>
    </w:rPr>
  </w:style>
  <w:style w:type="paragraph" w:styleId="815">
    <w:name w:val="Footer Char"/>
    <w:basedOn w:val="781"/>
    <w:link w:val="816"/>
  </w:style>
  <w:style w:type="character" w:styleId="816">
    <w:name w:val="Footer Char"/>
    <w:basedOn w:val="782"/>
    <w:link w:val="815"/>
  </w:style>
  <w:style w:type="table" w:styleId="817">
    <w:name w:val="List Table 6 Colorful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Table Grid"/>
    <w:basedOn w:val="900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3 - Accent 5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2 - Accent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List Table 1 Light - Accent 2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Таблица простая 5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List Table 1 Light - Accent 3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Bordered &amp; Lined - Accent 6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Grid Table 2 - Accent 5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Список-таблица 2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Таблица-сетка 1 светл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Grid Table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1 Light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Bordered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Grid Table 7 Colorful - Accent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Grid Table 2 - Accent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6 Colorful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Bordered &amp; Lined - Accent 4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Таблица-сетка 3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List Table 7 Colorful - Accent 4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List Table 5 Dark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Grid Table 7 Colorful - Accent 5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Grid Table 1 Light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Bordered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Таблица-сетка 4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5 Dark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Grid Table 1 Light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List Table 4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List Table 6 Colorful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7 Colorful - Accent 6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Lined - Accent 3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Таблица простая 3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Plain Table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List Table 2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2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Grid Table 3 - Accent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Bordered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Grid Table 5 Dark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Grid Table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Grid Table 4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List Table 3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Список-таблица 5 тем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5 Dark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Lined - Accent 4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Grid Table 6 Colorful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Grid Table 4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7 Colorful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Список-таблица 1 светлая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Bordered &amp; Lined - Accent 2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Bordered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Grid Table 2 - Accent 6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List Table 5 Dark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7 Colorful - Accent 2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Grid Table 6 Colorful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Grid Table 4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Grid Table 7 Colorful - Accent 4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Список-таблица 3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Grid Table 3 - Accent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Grid Table 7 Colorful - Accent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Bordered &amp; Lined - Accent 3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7 Colorful - Accent 6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Grid Table 6 Colorful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List Table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Grid Table 3 - Accent 4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Таблица-сетка 5 тем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Bordered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7 Colorful - Accent 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Grid Table 5 Dark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List Table 6 Colorful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ned - Accent 5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Bordered &amp; Lined - Accent 5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st Table 2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Grid Table 2 - Accent 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st Table 5 Dark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st Table 1 Light - Accent 5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Grid Table 6 Colorful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st Table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6 Colorful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Grid Table 4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Grid Table 6 Colorful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List Table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List Table 4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Grid Table 4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List Table 4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Lined - Accent 2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Bordered &amp; Lined - Accent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Таблица-сетка 6 цвет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Bordered &amp; Lined - Accent 1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List Table 7 Colorful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List Table 1 Light - Accent 4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2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ned - Accent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Список-таблица 6 цвет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Таблица простая 2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Lined - Accent 1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3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Plain Table 3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st Table 2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1 Light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List Table 3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List Table 5 Dark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Lined - Accent 6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List Table 5 Dark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List Table 5 Dark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List Table 4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Список-таблица 4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Таблица простая 1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Plain Table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List Table 5 Dark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1 Light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Bordered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Список-таблица 7 цветная1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Grid Table 2 - Accent 4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7 Colorful - Accent 3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st Table 7 Colorful - Accent 1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Grid Table 3 - Accent 6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Grid Table 5 Dark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List Table 3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Grid Table 1 Light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Таблица простая 4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1 Light - Accent 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Plain Table 4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7 Colorful - Accent 5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6 Colorful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1 Light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Таблица-сетка 7 цветная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st Table 6 Colorful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List Table 1 Light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List Table 6 Colorful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5 Dark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List Table 6 Colorful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List Table 3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List Table 4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List Table 2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st Table 1 Light - Accent 6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Таблица-сетка 2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List Table 3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Plain Table 5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Bordered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Grid Table 3 - Accent 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5 Dark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4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st Table 4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Table Grid Light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2025-01-21T18:36:00Z</dcterms:created>
  <dcterms:modified xsi:type="dcterms:W3CDTF">2025-08-04T07:57:45Z</dcterms:modified>
</cp:coreProperties>
</file>