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right="94"/>
        <w:rPr>
          <w:sz w:val="28"/>
        </w:rPr>
      </w:pPr>
      <w:r>
        <w:rPr>
          <w:sz w:val="28"/>
        </w:rPr>
        <w:t xml:space="preserve">                         </w:t>
      </w:r>
      <w:r>
        <w:rPr>
          <w:sz w:val="28"/>
        </w:rPr>
        <w:t xml:space="preserve">              </w:t>
      </w:r>
    </w:p>
    <w:p w14:paraId="09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главы </w:t>
      </w:r>
      <w:r>
        <w:rPr>
          <w:rFonts w:ascii="Times New Roman" w:hAnsi="Times New Roman"/>
          <w:sz w:val="28"/>
        </w:rPr>
        <w:t xml:space="preserve">Ленинградского муниципального </w:t>
      </w:r>
      <w:r>
        <w:rPr>
          <w:rFonts w:ascii="Times New Roman" w:hAnsi="Times New Roman"/>
          <w:sz w:val="28"/>
        </w:rPr>
        <w:t xml:space="preserve">округа, начальнику отдела </w:t>
      </w:r>
      <w:r>
        <w:rPr>
          <w:rFonts w:ascii="Times New Roman" w:hAnsi="Times New Roman"/>
          <w:sz w:val="28"/>
        </w:rPr>
        <w:t xml:space="preserve">имущественных отношений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widowControl w:val="1"/>
        <w:ind w:left="5529" w:right="94"/>
        <w:rPr>
          <w:rFonts w:ascii="Times New Roman" w:hAnsi="Times New Roman"/>
          <w:sz w:val="28"/>
        </w:rPr>
      </w:pPr>
    </w:p>
    <w:p w14:paraId="0B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Тоцкой Р.Г.</w:t>
      </w:r>
    </w:p>
    <w:p w14:paraId="0C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D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№ 16 </w:t>
      </w:r>
      <w:r>
        <w:rPr>
          <w:b w:val="1"/>
          <w:sz w:val="28"/>
        </w:rPr>
        <w:t>от 5 октября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0E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оценке регулирующего воздействия </w:t>
      </w:r>
      <w:r>
        <w:rPr>
          <w:rFonts w:ascii="Times New Roman" w:hAnsi="Times New Roman"/>
          <w:sz w:val="28"/>
        </w:rPr>
        <w:t xml:space="preserve">проекта </w:t>
      </w:r>
    </w:p>
    <w:p w14:paraId="0F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Ленинградский </w:t>
      </w:r>
      <w:r>
        <w:rPr>
          <w:rFonts w:ascii="Times New Roman" w:hAnsi="Times New Roman"/>
          <w:sz w:val="28"/>
        </w:rPr>
        <w:t>муниципальный округ Краснодарского края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схем </w:t>
      </w:r>
      <w:r>
        <w:rPr>
          <w:rFonts w:ascii="Times New Roman" w:hAnsi="Times New Roman"/>
          <w:b w:val="0"/>
          <w:color w:val="000000"/>
          <w:sz w:val="28"/>
        </w:rPr>
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0"/>
          <w:color w:val="000000"/>
          <w:sz w:val="28"/>
        </w:rPr>
        <w:t xml:space="preserve">за исключением расположенных на землях лесного фонда указанных нестационарных объектов на территории </w:t>
      </w:r>
      <w:r>
        <w:rPr>
          <w:rFonts w:ascii="Times New Roman" w:hAnsi="Times New Roman"/>
          <w:b w:val="0"/>
          <w:color w:val="000000"/>
          <w:sz w:val="28"/>
        </w:rPr>
        <w:t>Ленинградского муниципального округа Краснодарского края</w:t>
      </w:r>
      <w:r>
        <w:rPr>
          <w:rFonts w:ascii="Times New Roman" w:hAnsi="Times New Roman"/>
          <w:sz w:val="28"/>
        </w:rPr>
        <w:t xml:space="preserve">» </w:t>
      </w:r>
    </w:p>
    <w:p w14:paraId="10000000">
      <w:pPr>
        <w:widowControl w:val="1"/>
        <w:ind/>
        <w:jc w:val="center"/>
        <w:outlineLvl w:val="0"/>
        <w:rPr>
          <w:b w:val="1"/>
          <w:sz w:val="28"/>
        </w:rPr>
      </w:pPr>
    </w:p>
    <w:p w14:paraId="11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как уполномоченный орган по проведению оценки регулирующего воздействия проектов муниципальных нормативных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 xml:space="preserve">муниципального </w:t>
      </w:r>
      <w:r>
        <w:rPr>
          <w:sz w:val="28"/>
        </w:rPr>
        <w:t>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</w:t>
      </w:r>
      <w:r>
        <w:rPr>
          <w:sz w:val="28"/>
        </w:rPr>
        <w:t xml:space="preserve">деятельности </w:t>
      </w:r>
      <w:r>
        <w:rPr>
          <w:sz w:val="28"/>
        </w:rPr>
        <w:t>(далее – Уполномоченный орган), рассмотрел поступивший</w:t>
      </w:r>
      <w:r>
        <w:rPr>
          <w:sz w:val="28"/>
        </w:rPr>
        <w:t xml:space="preserve"> 15 сентября</w:t>
      </w:r>
      <w:r>
        <w:rPr>
          <w:sz w:val="28"/>
        </w:rPr>
        <w:t xml:space="preserve"> </w:t>
      </w:r>
      <w:r>
        <w:rPr>
          <w:sz w:val="28"/>
        </w:rPr>
        <w:t>2026</w:t>
      </w:r>
      <w:r>
        <w:rPr>
          <w:sz w:val="28"/>
        </w:rPr>
        <w:t xml:space="preserve"> г. </w:t>
      </w:r>
      <w:r>
        <w:rPr>
          <w:sz w:val="28"/>
        </w:rPr>
        <w:t xml:space="preserve">проект </w:t>
      </w:r>
      <w:r>
        <w:rPr>
          <w:sz w:val="28"/>
        </w:rPr>
        <w:t>постановления администраци</w:t>
      </w:r>
      <w:r>
        <w:rPr>
          <w:sz w:val="28"/>
        </w:rPr>
        <w:t xml:space="preserve">и </w:t>
      </w:r>
      <w:r>
        <w:rPr>
          <w:sz w:val="28"/>
        </w:rPr>
        <w:t xml:space="preserve">муниципального образования Ленинградский муниципальный округ </w:t>
      </w:r>
      <w:r>
        <w:rPr>
          <w:sz w:val="28"/>
        </w:rPr>
        <w:t>Краснодарского края</w:t>
      </w:r>
      <w:r>
        <w:rPr>
          <w:sz w:val="28"/>
        </w:rPr>
        <w:t xml:space="preserve">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схем </w:t>
      </w:r>
      <w:r>
        <w:rPr>
          <w:rFonts w:ascii="Times New Roman" w:hAnsi="Times New Roman"/>
          <w:b w:val="0"/>
          <w:color w:val="000000"/>
          <w:sz w:val="28"/>
        </w:rPr>
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0"/>
          <w:color w:val="000000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</w:r>
      <w:bookmarkStart w:id="1" w:name="_GoBack"/>
      <w:bookmarkEnd w:id="1"/>
      <w:r>
        <w:rPr>
          <w:sz w:val="28"/>
        </w:rPr>
        <w:t xml:space="preserve">»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 xml:space="preserve">, направленный </w:t>
      </w:r>
      <w:r>
        <w:rPr>
          <w:rFonts w:ascii="Times New Roman" w:hAnsi="Times New Roman"/>
          <w:sz w:val="28"/>
        </w:rPr>
        <w:t>отделом</w:t>
      </w:r>
      <w:r>
        <w:rPr>
          <w:rFonts w:ascii="Times New Roman" w:hAnsi="Times New Roman"/>
          <w:sz w:val="28"/>
        </w:rPr>
        <w:t xml:space="preserve"> архитектуры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Ленинградский муниципальный округ </w:t>
      </w:r>
      <w:r>
        <w:rPr>
          <w:sz w:val="28"/>
        </w:rPr>
        <w:t xml:space="preserve">(далее - </w:t>
      </w:r>
      <w:r>
        <w:rPr>
          <w:sz w:val="28"/>
        </w:rPr>
        <w:t>Разработчик)</w:t>
      </w:r>
      <w:r>
        <w:rPr>
          <w:sz w:val="28"/>
        </w:rPr>
        <w:t xml:space="preserve"> для подготовки настоящего </w:t>
      </w:r>
      <w:r>
        <w:rPr>
          <w:sz w:val="28"/>
        </w:rPr>
        <w:t>Заключения</w:t>
      </w:r>
      <w:r>
        <w:rPr>
          <w:sz w:val="28"/>
        </w:rPr>
        <w:t>,</w:t>
      </w:r>
      <w:r>
        <w:rPr>
          <w:sz w:val="28"/>
        </w:rPr>
        <w:t xml:space="preserve"> и сообщает </w:t>
      </w:r>
      <w:r>
        <w:rPr>
          <w:sz w:val="28"/>
        </w:rPr>
        <w:t>следующее</w:t>
      </w:r>
      <w:r>
        <w:rPr>
          <w:sz w:val="28"/>
        </w:rPr>
        <w:t>.</w:t>
      </w:r>
    </w:p>
    <w:p w14:paraId="12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>проведения оценки регулирующего воздействия проектов муниципальных нормативных правовых актов Ленинградского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деятельности </w:t>
      </w:r>
      <w:r>
        <w:rPr>
          <w:sz w:val="28"/>
        </w:rPr>
        <w:t>(далее - Порядок) проект подлежит проведению оценки регулирующего воздействия.</w:t>
      </w:r>
    </w:p>
    <w:p w14:paraId="13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 xml:space="preserve">Степень регулирующего воздействия -  </w:t>
      </w:r>
      <w:r>
        <w:rPr>
          <w:sz w:val="28"/>
        </w:rPr>
        <w:t>высокая</w:t>
      </w:r>
      <w:r>
        <w:rPr>
          <w:sz w:val="28"/>
        </w:rPr>
        <w:t xml:space="preserve">.   </w:t>
      </w:r>
    </w:p>
    <w:p w14:paraId="14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5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Проект направлен Разработчиком для проведения оценки регулирующего воздействия впервые.</w:t>
      </w:r>
    </w:p>
    <w:p w14:paraId="17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</w:t>
      </w:r>
      <w:r>
        <w:rPr>
          <w:sz w:val="28"/>
        </w:rPr>
        <w:t xml:space="preserve">правовым регулированием рассматриваемой сферы общественных отношений. </w:t>
      </w:r>
    </w:p>
    <w:p w14:paraId="18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Р</w:t>
      </w:r>
      <w:r>
        <w:rPr>
          <w:sz w:val="28"/>
        </w:rPr>
        <w:t>азработчиком предложен один вариант правового регулирования -</w:t>
      </w:r>
      <w:r>
        <w:rPr>
          <w:sz w:val="28"/>
        </w:rPr>
        <w:t xml:space="preserve"> </w:t>
      </w:r>
      <w:r>
        <w:rPr>
          <w:sz w:val="28"/>
        </w:rPr>
        <w:t xml:space="preserve">принятие постановления администрации </w:t>
      </w:r>
      <w:r>
        <w:rPr>
          <w:sz w:val="28"/>
        </w:rPr>
        <w:t>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схем </w:t>
      </w:r>
      <w:r>
        <w:rPr>
          <w:rFonts w:ascii="Times New Roman" w:hAnsi="Times New Roman"/>
          <w:b w:val="0"/>
          <w:color w:val="000000"/>
          <w:sz w:val="28"/>
        </w:rPr>
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0"/>
          <w:color w:val="000000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</w:r>
      <w:r>
        <w:rPr>
          <w:sz w:val="28"/>
        </w:rPr>
        <w:t>»</w:t>
      </w:r>
      <w:r>
        <w:rPr>
          <w:color w:themeColor="text1" w:val="000000"/>
          <w:sz w:val="28"/>
        </w:rPr>
        <w:t>.</w:t>
      </w:r>
      <w:r>
        <w:rPr>
          <w:sz w:val="28"/>
        </w:rPr>
        <w:t xml:space="preserve"> </w:t>
      </w:r>
    </w:p>
    <w:p w14:paraId="19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акта. </w:t>
      </w:r>
    </w:p>
    <w:p w14:paraId="1A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</w:t>
      </w:r>
      <w:r>
        <w:rPr>
          <w:rFonts w:ascii="Times New Roman" w:hAnsi="Times New Roman"/>
          <w:sz w:val="28"/>
        </w:rPr>
        <w:t>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B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C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>, на решение которой направлено правовое регулирование, сформирована точно</w:t>
      </w:r>
      <w:r>
        <w:rPr>
          <w:rFonts w:ascii="Times New Roman" w:hAnsi="Times New Roman"/>
          <w:sz w:val="28"/>
        </w:rPr>
        <w:t>;</w:t>
      </w:r>
    </w:p>
    <w:p w14:paraId="1D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определены потенциальные адресаты предлагаемого правового регулиро</w:t>
      </w:r>
      <w:r>
        <w:rPr>
          <w:sz w:val="28"/>
        </w:rPr>
        <w:t>вания</w:t>
      </w:r>
      <w:r>
        <w:rPr>
          <w:sz w:val="28"/>
        </w:rPr>
        <w:t>;</w:t>
      </w:r>
    </w:p>
    <w:p w14:paraId="1E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>оценка участников не ограничена;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1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дополнительных расходов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связанных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регулирования, не предполагается;</w:t>
      </w:r>
    </w:p>
    <w:p w14:paraId="2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4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п</w:t>
      </w:r>
      <w:r>
        <w:rPr>
          <w:rFonts w:ascii="Times New Roman" w:hAnsi="Times New Roman"/>
          <w:sz w:val="28"/>
        </w:rPr>
        <w:t xml:space="preserve">редприниматели, осуществляющие деятельность по оказанию нестационарных бытовых услуг на территории Ленинградского муниципального округа. 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Их количество неограниченно.</w:t>
      </w:r>
    </w:p>
    <w:p w14:paraId="25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color w:val="000000"/>
          <w:sz w:val="28"/>
        </w:rPr>
      </w:pPr>
    </w:p>
    <w:p w14:paraId="2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2. Проблема, на решение которой направлено правовое регулирование, </w:t>
      </w:r>
      <w:r>
        <w:rPr>
          <w:sz w:val="28"/>
        </w:rPr>
        <w:t>заключается в</w:t>
      </w:r>
      <w:r>
        <w:rPr>
          <w:sz w:val="28"/>
        </w:rPr>
        <w:t xml:space="preserve"> следующем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27000000">
      <w:pPr>
        <w:widowControl w:val="1"/>
        <w:ind w:firstLine="45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отсутствием схемы </w:t>
      </w:r>
      <w:r>
        <w:rPr>
          <w:rStyle w:val="Style_5_ch"/>
          <w:rFonts w:ascii="Times New Roman" w:hAnsi="Times New Roman"/>
          <w:sz w:val="28"/>
        </w:rPr>
        <w:t xml:space="preserve">размещения нестационарных торговых объектов на </w:t>
      </w:r>
      <w:r>
        <w:rPr>
          <w:rFonts w:ascii="Times New Roman" w:hAnsi="Times New Roman"/>
          <w:color w:val="000000"/>
          <w:sz w:val="28"/>
        </w:rPr>
        <w:t xml:space="preserve">землях или земельных участках, находящихся в государственной или муниципальной собственности, без предоставления земельных участков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установление сервитута, публичного сервитута, </w:t>
      </w:r>
      <w:r>
        <w:rPr>
          <w:rFonts w:ascii="Times New Roman" w:hAnsi="Times New Roman"/>
          <w:color w:val="000000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 н</w:t>
      </w:r>
      <w:r>
        <w:rPr>
          <w:rStyle w:val="Style_5_ch"/>
          <w:rFonts w:ascii="Times New Roman" w:hAnsi="Times New Roman"/>
          <w:sz w:val="28"/>
        </w:rPr>
        <w:t>арушением действующего законодательства Российской Феде</w:t>
      </w:r>
      <w:r>
        <w:rPr>
          <w:rStyle w:val="Style_5_ch"/>
          <w:rFonts w:ascii="Times New Roman" w:hAnsi="Times New Roman"/>
          <w:sz w:val="28"/>
        </w:rPr>
        <w:t>рац</w:t>
      </w:r>
      <w:r>
        <w:rPr>
          <w:rStyle w:val="Style_5_ch"/>
          <w:rFonts w:ascii="Times New Roman" w:hAnsi="Times New Roman"/>
          <w:sz w:val="28"/>
        </w:rPr>
        <w:t xml:space="preserve">ии </w:t>
      </w:r>
      <w:r>
        <w:rPr>
          <w:rStyle w:val="Style_5_ch"/>
          <w:rFonts w:ascii="Times New Roman" w:hAnsi="Times New Roman"/>
          <w:sz w:val="28"/>
        </w:rPr>
        <w:t xml:space="preserve">влияет на </w:t>
      </w:r>
      <w:r>
        <w:rPr>
          <w:rFonts w:ascii="Times New Roman" w:hAnsi="Times New Roman"/>
          <w:b w:val="0"/>
          <w:sz w:val="28"/>
        </w:rPr>
        <w:t xml:space="preserve">возможность оказания </w:t>
      </w:r>
      <w:r>
        <w:rPr>
          <w:rFonts w:ascii="Times New Roman" w:hAnsi="Times New Roman"/>
          <w:b w:val="0"/>
          <w:sz w:val="28"/>
        </w:rPr>
        <w:t>муниципальной услуги «</w:t>
      </w:r>
      <w:r>
        <w:rPr>
          <w:rFonts w:ascii="Times New Roman" w:hAnsi="Times New Roman"/>
          <w:i w:val="0"/>
          <w:sz w:val="28"/>
        </w:rPr>
        <w:t xml:space="preserve">Заключение договора на размещение объектов </w:t>
      </w:r>
      <w:r>
        <w:rPr>
          <w:rFonts w:ascii="Times New Roman" w:hAnsi="Times New Roman"/>
          <w:i w:val="0"/>
          <w:sz w:val="28"/>
        </w:rPr>
        <w:t>на землях или земельных</w:t>
      </w:r>
      <w:r>
        <w:rPr>
          <w:rFonts w:ascii="Times New Roman" w:hAnsi="Times New Roman"/>
          <w:i w:val="0"/>
          <w:sz w:val="28"/>
        </w:rPr>
        <w:t xml:space="preserve"> участках, находящихся в </w:t>
      </w:r>
      <w:r>
        <w:rPr>
          <w:rFonts w:ascii="Times New Roman" w:hAnsi="Times New Roman"/>
          <w:i w:val="0"/>
          <w:sz w:val="28"/>
        </w:rPr>
        <w:t xml:space="preserve">государственной </w:t>
      </w:r>
      <w:r>
        <w:rPr>
          <w:rFonts w:ascii="Times New Roman" w:hAnsi="Times New Roman"/>
          <w:i w:val="0"/>
          <w:sz w:val="28"/>
        </w:rPr>
        <w:t xml:space="preserve">или </w:t>
      </w:r>
      <w:r>
        <w:rPr>
          <w:rFonts w:ascii="Times New Roman" w:hAnsi="Times New Roman"/>
          <w:i w:val="0"/>
          <w:sz w:val="28"/>
        </w:rPr>
        <w:t xml:space="preserve">муниципальной собственности, без предоставления земельных участков </w:t>
      </w:r>
      <w:r>
        <w:rPr>
          <w:rFonts w:ascii="Times New Roman" w:hAnsi="Times New Roman"/>
          <w:i w:val="0"/>
          <w:sz w:val="28"/>
        </w:rPr>
        <w:t>и установления сервитута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28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>
        <w:rPr>
          <w:sz w:val="28"/>
        </w:rPr>
        <w:t>возможным.</w:t>
      </w:r>
    </w:p>
    <w:p w14:paraId="29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утве</w:t>
      </w:r>
      <w:r>
        <w:rPr>
          <w:rFonts w:ascii="Times New Roman" w:hAnsi="Times New Roman"/>
          <w:b w:val="0"/>
          <w:sz w:val="28"/>
        </w:rPr>
        <w:t xml:space="preserve">рждение схем </w:t>
      </w:r>
      <w:r>
        <w:rPr>
          <w:rFonts w:ascii="Times New Roman" w:hAnsi="Times New Roman"/>
          <w:b w:val="0"/>
          <w:sz w:val="28"/>
        </w:rPr>
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</w:t>
      </w:r>
      <w:r>
        <w:rPr>
          <w:rFonts w:ascii="Times New Roman" w:hAnsi="Times New Roman"/>
          <w:b w:val="0"/>
          <w:sz w:val="28"/>
        </w:rPr>
        <w:t xml:space="preserve">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0"/>
          <w:sz w:val="28"/>
        </w:rPr>
        <w:t xml:space="preserve"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 даст возможность </w:t>
      </w:r>
      <w:r>
        <w:rPr>
          <w:rFonts w:ascii="Times New Roman" w:hAnsi="Times New Roman"/>
          <w:b w:val="0"/>
          <w:sz w:val="28"/>
        </w:rPr>
        <w:t xml:space="preserve">оказания </w:t>
      </w:r>
      <w:r>
        <w:rPr>
          <w:rFonts w:ascii="Times New Roman" w:hAnsi="Times New Roman"/>
          <w:b w:val="0"/>
          <w:sz w:val="28"/>
        </w:rPr>
        <w:t>муниципальной услуги «</w:t>
      </w:r>
      <w:r>
        <w:rPr>
          <w:rFonts w:ascii="Times New Roman" w:hAnsi="Times New Roman"/>
          <w:i w:val="0"/>
          <w:sz w:val="28"/>
        </w:rPr>
        <w:t xml:space="preserve">Заключение договора на размещение объектов </w:t>
      </w:r>
      <w:r>
        <w:rPr>
          <w:rFonts w:ascii="Times New Roman" w:hAnsi="Times New Roman"/>
          <w:i w:val="0"/>
          <w:sz w:val="28"/>
        </w:rPr>
        <w:t>на землях или земельных</w:t>
      </w:r>
      <w:r>
        <w:rPr>
          <w:rFonts w:ascii="Times New Roman" w:hAnsi="Times New Roman"/>
          <w:i w:val="0"/>
          <w:sz w:val="28"/>
        </w:rPr>
        <w:t xml:space="preserve"> участках, находящихся в </w:t>
      </w:r>
      <w:r>
        <w:rPr>
          <w:rFonts w:ascii="Times New Roman" w:hAnsi="Times New Roman"/>
          <w:i w:val="0"/>
          <w:sz w:val="28"/>
        </w:rPr>
        <w:t xml:space="preserve">государственной </w:t>
      </w:r>
      <w:r>
        <w:rPr>
          <w:rFonts w:ascii="Times New Roman" w:hAnsi="Times New Roman"/>
          <w:i w:val="0"/>
          <w:sz w:val="28"/>
        </w:rPr>
        <w:t xml:space="preserve">или </w:t>
      </w:r>
      <w:r>
        <w:rPr>
          <w:rFonts w:ascii="Times New Roman" w:hAnsi="Times New Roman"/>
          <w:i w:val="0"/>
          <w:sz w:val="28"/>
        </w:rPr>
        <w:t>муниципальной собственности, без предоставления земе</w:t>
      </w:r>
      <w:r>
        <w:rPr>
          <w:rFonts w:ascii="Times New Roman" w:hAnsi="Times New Roman"/>
          <w:i w:val="0"/>
          <w:sz w:val="28"/>
        </w:rPr>
        <w:t xml:space="preserve">льных участков </w:t>
      </w:r>
      <w:r>
        <w:rPr>
          <w:rFonts w:ascii="Times New Roman" w:hAnsi="Times New Roman"/>
          <w:i w:val="0"/>
          <w:sz w:val="28"/>
        </w:rPr>
        <w:t>и установления сервитута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2A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2B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2C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</w:t>
      </w:r>
      <w:r>
        <w:rPr>
          <w:rFonts w:ascii="Times New Roman" w:hAnsi="Times New Roman"/>
          <w:sz w:val="28"/>
        </w:rPr>
        <w:t xml:space="preserve">устанавливающие новые обязанности для субъектов предпринимательской и иной экономической деятельности. </w:t>
      </w:r>
    </w:p>
    <w:p w14:paraId="2D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  <w:r>
        <w:rPr>
          <w:rFonts w:ascii="Times New Roman" w:hAnsi="Times New Roman"/>
          <w:sz w:val="28"/>
        </w:rPr>
        <w:t>.</w:t>
      </w:r>
    </w:p>
    <w:p w14:paraId="2E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Полномочия администрации Ленинградского муниципального округа в отношениях с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sz w:val="28"/>
        </w:rPr>
        <w:t>редпринимател</w:t>
      </w:r>
      <w:r>
        <w:rPr>
          <w:rFonts w:ascii="Times New Roman" w:hAnsi="Times New Roman"/>
          <w:sz w:val="28"/>
        </w:rPr>
        <w:t>ями, осуществляющими деятельность по оказанию нестационарных бытовых услуг на территории Ленинградского муниципального округа регламентированы разделом 2.3 а</w:t>
      </w:r>
      <w:r>
        <w:rPr>
          <w:rFonts w:ascii="Times New Roman" w:hAnsi="Times New Roman"/>
          <w:sz w:val="28"/>
        </w:rPr>
        <w:t>дминистративного</w:t>
      </w:r>
      <w:r>
        <w:rPr>
          <w:rFonts w:ascii="Times New Roman" w:hAnsi="Times New Roman"/>
          <w:sz w:val="28"/>
        </w:rPr>
        <w:t xml:space="preserve"> регламента </w:t>
      </w:r>
      <w:r>
        <w:rPr>
          <w:rFonts w:ascii="Times New Roman" w:hAnsi="Times New Roman"/>
          <w:sz w:val="28"/>
        </w:rPr>
        <w:t>предос</w:t>
      </w:r>
      <w:r>
        <w:rPr>
          <w:rFonts w:ascii="Times New Roman" w:hAnsi="Times New Roman"/>
          <w:sz w:val="28"/>
        </w:rPr>
        <w:t>тавления муниципальной усл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Заключение договора на размещение объектов на землях или земельных участках, находящихся в </w:t>
      </w:r>
      <w:r>
        <w:rPr>
          <w:rFonts w:ascii="Times New Roman" w:hAnsi="Times New Roman"/>
          <w:i w:val="0"/>
          <w:sz w:val="28"/>
        </w:rPr>
        <w:t xml:space="preserve">государственной или </w:t>
      </w:r>
      <w:r>
        <w:rPr>
          <w:rFonts w:ascii="Times New Roman" w:hAnsi="Times New Roman"/>
          <w:sz w:val="28"/>
        </w:rPr>
        <w:t>муниципальной</w:t>
      </w:r>
      <w:r>
        <w:rPr>
          <w:rFonts w:ascii="Times New Roman" w:hAnsi="Times New Roman"/>
          <w:sz w:val="28"/>
        </w:rPr>
        <w:t xml:space="preserve"> собственности, без предоставления земельных участков и установления сервитута</w:t>
      </w:r>
      <w:r>
        <w:rPr>
          <w:rFonts w:ascii="Times New Roman" w:hAnsi="Times New Roman"/>
          <w:sz w:val="28"/>
        </w:rPr>
        <w:t xml:space="preserve">», </w:t>
      </w:r>
      <w:r>
        <w:rPr>
          <w:rFonts w:ascii="Times New Roman" w:hAnsi="Times New Roman"/>
          <w:sz w:val="28"/>
        </w:rPr>
        <w:t xml:space="preserve">утвержденного постановлением администрации муниципального образования Ленинградский </w:t>
      </w:r>
      <w:r>
        <w:rPr>
          <w:rFonts w:ascii="Times New Roman" w:hAnsi="Times New Roman"/>
          <w:sz w:val="28"/>
        </w:rPr>
        <w:t>район от 17.11.2021 г. № 1190.</w:t>
      </w:r>
    </w:p>
    <w:p w14:paraId="2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3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Дополнительные расходы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 xml:space="preserve">), понесенные от регулирующего воздействия предлагаемого проекта муниципального нормативного правового акта, не </w:t>
      </w:r>
      <w:r>
        <w:rPr>
          <w:rFonts w:ascii="Times New Roman" w:hAnsi="Times New Roman"/>
          <w:sz w:val="28"/>
        </w:rPr>
        <w:t>предполагаются.</w:t>
      </w:r>
    </w:p>
    <w:p w14:paraId="31000000">
      <w:pPr>
        <w:widowControl w:val="1"/>
        <w:ind w:firstLine="567"/>
        <w:jc w:val="both"/>
        <w:rPr>
          <w:sz w:val="28"/>
        </w:rPr>
      </w:pPr>
      <w:r>
        <w:rPr>
          <w:color w:themeColor="text1" w:val="000000"/>
          <w:sz w:val="28"/>
        </w:rPr>
        <w:t xml:space="preserve">Расходы потенциальных адресатов предлагаемого правового регулирования согласно утвержденной </w:t>
      </w:r>
      <w:r>
        <w:rPr>
          <w:rStyle w:val="Style_5_ch"/>
          <w:rFonts w:ascii="Times New Roman" w:hAnsi="Times New Roman"/>
          <w:sz w:val="28"/>
        </w:rPr>
        <w:t xml:space="preserve">схемы </w:t>
      </w:r>
      <w:r>
        <w:rPr>
          <w:rStyle w:val="Style_5_ch"/>
          <w:rFonts w:ascii="Times New Roman" w:hAnsi="Times New Roman"/>
          <w:sz w:val="28"/>
        </w:rPr>
        <w:t xml:space="preserve">размещения нестационарных торговых объектов на </w:t>
      </w:r>
      <w:r>
        <w:rPr>
          <w:rFonts w:ascii="Times New Roman" w:hAnsi="Times New Roman"/>
          <w:color w:val="000000"/>
          <w:sz w:val="28"/>
        </w:rPr>
        <w:t xml:space="preserve">землях или земельных участках, находящихся в государственной или муниципальной собственности, без предоставления земельных участков </w:t>
      </w:r>
      <w:r>
        <w:rPr>
          <w:rFonts w:ascii="Times New Roman" w:hAnsi="Times New Roman"/>
          <w:color w:val="000000"/>
          <w:sz w:val="28"/>
        </w:rPr>
        <w:t xml:space="preserve">и установление сервитута, публичного сервитута, </w:t>
      </w:r>
      <w:r>
        <w:rPr>
          <w:rFonts w:ascii="Times New Roman" w:hAnsi="Times New Roman"/>
          <w:color w:val="000000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</w:t>
      </w:r>
      <w:r>
        <w:rPr>
          <w:color w:themeColor="text1" w:val="000000"/>
          <w:sz w:val="28"/>
        </w:rPr>
        <w:t xml:space="preserve">  предполагаются в виде информационных издержек на подготовку и представление</w:t>
      </w:r>
      <w:r>
        <w:rPr>
          <w:sz w:val="28"/>
        </w:rPr>
        <w:t xml:space="preserve"> документов на предоставление муниципальной </w:t>
      </w:r>
      <w:r>
        <w:rPr>
          <w:sz w:val="28"/>
        </w:rPr>
        <w:t>услуги</w:t>
      </w:r>
      <w:r>
        <w:rPr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Заключение договора на размещение объектов на землях или земельных участках, находящихся в </w:t>
      </w:r>
      <w:r>
        <w:rPr>
          <w:rFonts w:ascii="Times New Roman" w:hAnsi="Times New Roman"/>
          <w:i w:val="0"/>
          <w:sz w:val="28"/>
        </w:rPr>
        <w:t xml:space="preserve">государственной или </w:t>
      </w:r>
      <w:r>
        <w:rPr>
          <w:rFonts w:ascii="Times New Roman" w:hAnsi="Times New Roman"/>
          <w:sz w:val="28"/>
        </w:rPr>
        <w:t>муниципальной</w:t>
      </w:r>
      <w:r>
        <w:rPr>
          <w:rFonts w:ascii="Times New Roman" w:hAnsi="Times New Roman"/>
          <w:sz w:val="28"/>
        </w:rPr>
        <w:t xml:space="preserve"> собственности, без предоставления земельных участков и установления сервитута</w:t>
      </w:r>
      <w:r>
        <w:rPr>
          <w:rFonts w:ascii="Times New Roman" w:hAnsi="Times New Roman"/>
          <w:sz w:val="28"/>
        </w:rPr>
        <w:t xml:space="preserve">», </w:t>
      </w:r>
      <w:r>
        <w:rPr>
          <w:color w:themeColor="text1" w:val="000000"/>
          <w:sz w:val="28"/>
        </w:rPr>
        <w:t xml:space="preserve">в размере </w:t>
      </w:r>
      <w:r>
        <w:rPr>
          <w:sz w:val="28"/>
        </w:rPr>
        <w:t>примерн</w:t>
      </w:r>
      <w:r>
        <w:rPr>
          <w:sz w:val="28"/>
        </w:rPr>
        <w:t xml:space="preserve">о </w:t>
      </w:r>
      <w:r>
        <w:rPr>
          <w:rStyle w:val="Style_5_ch"/>
          <w:rFonts w:ascii="Times New Roman" w:hAnsi="Times New Roman"/>
          <w:sz w:val="28"/>
        </w:rPr>
        <w:t xml:space="preserve">1 272,39 </w:t>
      </w:r>
      <w:r>
        <w:rPr>
          <w:sz w:val="28"/>
        </w:rPr>
        <w:t>руб.</w:t>
      </w:r>
      <w:r>
        <w:rPr>
          <w:sz w:val="28"/>
        </w:rPr>
        <w:t xml:space="preserve"> в расчете на 1 заявителя</w:t>
      </w:r>
      <w:r>
        <w:rPr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sz w:val="28"/>
        </w:rPr>
        <w:t xml:space="preserve">или 2 544,78 руб. на планируемые 2 </w:t>
      </w:r>
      <w:r>
        <w:rPr>
          <w:rStyle w:val="Style_5_ch"/>
          <w:rFonts w:ascii="Times New Roman" w:hAnsi="Times New Roman"/>
          <w:sz w:val="28"/>
        </w:rPr>
        <w:t>объектов нестационарной торговли.</w:t>
      </w:r>
      <w:r>
        <w:rPr>
          <w:rStyle w:val="Style_5_ch"/>
          <w:rFonts w:ascii="Times New Roman" w:hAnsi="Times New Roman"/>
          <w:sz w:val="28"/>
        </w:rPr>
        <w:t xml:space="preserve">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41"/>
      </w:tblGrid>
      <w:tr>
        <w:trPr>
          <w:trHeight w:hRule="atLeast" w:val="360"/>
        </w:trPr>
        <w:tc>
          <w:tcPr>
            <w:tcW w:type="dxa" w:w="9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Согласно </w:t>
            </w:r>
            <w:r>
              <w:rPr>
                <w:rStyle w:val="Style_5_ch"/>
                <w:rFonts w:ascii="Times New Roman" w:hAnsi="Times New Roman"/>
                <w:sz w:val="24"/>
              </w:rPr>
              <w:t>Методике оценки стандартных издержек субъектов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предпринимательской и иной экономической деятельности, возникающих 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в связи с исполнением требований регулирования, утвержденной приказом Министерства экономического развития Российской Федерации от 1 февраля 2024 г. № 54, информационные издержки регулирования включают в себя затраты на подготовку и представление информации в соответствии </w:t>
            </w:r>
            <w:r>
              <w:rPr>
                <w:rStyle w:val="Style_5_ch"/>
                <w:rFonts w:ascii="Times New Roman" w:hAnsi="Times New Roman"/>
                <w:sz w:val="24"/>
              </w:rPr>
              <w:t>с требованиями проекта.</w:t>
            </w:r>
          </w:p>
          <w:p w14:paraId="33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Расчет вышеуказанной суммы затрат произведен с использованием калькулятора </w:t>
            </w:r>
            <w:r>
              <w:rPr>
                <w:rStyle w:val="Style_5_ch"/>
                <w:rFonts w:ascii="Times New Roman" w:hAnsi="Times New Roman"/>
                <w:sz w:val="24"/>
              </w:rPr>
              <w:t>расчета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стандартных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издержек: </w:t>
            </w:r>
          </w:p>
          <w:p w14:paraId="34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- название требования: предоставление пакета документов;</w:t>
            </w:r>
          </w:p>
          <w:p w14:paraId="35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- тип требования: предоставление информации;</w:t>
            </w:r>
          </w:p>
          <w:p w14:paraId="36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- раздел требования: информационное;</w:t>
            </w:r>
          </w:p>
          <w:p w14:paraId="37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- информационный элемент: предоставление заявления, справок, подтверждающих документов, совершенных действий (произведенных расходов) и т.п.;</w:t>
            </w:r>
          </w:p>
          <w:p w14:paraId="38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- тип элемента: документы, составленные совместно с третьими лицами для хранения /передачи органам власти; или внутренние документы </w:t>
            </w:r>
            <w:r>
              <w:rPr>
                <w:rStyle w:val="Style_5_ch"/>
                <w:rFonts w:ascii="Times New Roman" w:hAnsi="Times New Roman"/>
                <w:sz w:val="24"/>
              </w:rPr>
              <w:br/>
            </w:r>
            <w:r>
              <w:rPr>
                <w:rStyle w:val="Style_5_ch"/>
                <w:rFonts w:ascii="Times New Roman" w:hAnsi="Times New Roman"/>
                <w:sz w:val="24"/>
              </w:rPr>
              <w:t>для хранения /передачи органам власти; или иное;</w:t>
            </w:r>
          </w:p>
          <w:p w14:paraId="39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- масштаб: - </w:t>
            </w:r>
          </w:p>
          <w:p w14:paraId="3A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- частота: 1 ед.</w:t>
            </w:r>
          </w:p>
          <w:p w14:paraId="3B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Действия:</w:t>
            </w:r>
          </w:p>
          <w:p w14:paraId="3C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написание любого документа низкого уровня сложности (менее 5 стр. печатного </w:t>
            </w:r>
            <w:r>
              <w:rPr>
                <w:rStyle w:val="Style_5_ch"/>
                <w:rFonts w:ascii="Times New Roman" w:hAnsi="Times New Roman"/>
                <w:sz w:val="24"/>
              </w:rPr>
              <w:t>текста</w:t>
            </w:r>
            <w:r>
              <w:rPr>
                <w:rStyle w:val="Style_5_ch"/>
                <w:rFonts w:ascii="Times New Roman" w:hAnsi="Times New Roman"/>
                <w:sz w:val="24"/>
              </w:rPr>
              <w:t>) – 1,00 чел./часов;</w:t>
            </w:r>
          </w:p>
          <w:p w14:paraId="3D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копирование документов – 1,00 чел./часов;</w:t>
            </w:r>
          </w:p>
          <w:p w14:paraId="3E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подача заявления – 1,00 чел./часов.</w:t>
            </w:r>
          </w:p>
          <w:p w14:paraId="3F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Иные действия (предусмотренные проектом НПА) со стороны потенциальных адресатов предлагаемого регулирования (за исключением приобретения услуг, работ) – 0,1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чел.</w:t>
            </w:r>
            <w:r>
              <w:rPr>
                <w:rStyle w:val="Style_5_ch"/>
                <w:rFonts w:ascii="Times New Roman" w:hAnsi="Times New Roman"/>
                <w:sz w:val="24"/>
              </w:rPr>
              <w:t>/час</w:t>
            </w:r>
            <w:r>
              <w:rPr>
                <w:rStyle w:val="Style_5_ch"/>
                <w:rFonts w:ascii="Times New Roman" w:hAnsi="Times New Roman"/>
                <w:sz w:val="24"/>
              </w:rPr>
              <w:t>ов.</w:t>
            </w:r>
          </w:p>
          <w:p w14:paraId="40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Среднемесячная заработная плата по Ленинградскому округу на 1 июля </w:t>
            </w:r>
            <w:r>
              <w:rPr>
                <w:rStyle w:val="Style_5_ch"/>
                <w:rFonts w:ascii="Times New Roman" w:hAnsi="Times New Roman"/>
                <w:sz w:val="24"/>
              </w:rPr>
              <w:t>202</w:t>
            </w:r>
            <w:r>
              <w:rPr>
                <w:rStyle w:val="Style_5_ch"/>
                <w:rFonts w:ascii="Times New Roman" w:hAnsi="Times New Roman"/>
                <w:sz w:val="24"/>
              </w:rPr>
              <w:t>6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г. </w:t>
            </w:r>
            <w:r>
              <w:rPr>
                <w:rStyle w:val="Style_5_ch"/>
                <w:rFonts w:ascii="Times New Roman" w:hAnsi="Times New Roman"/>
                <w:sz w:val="24"/>
              </w:rPr>
              <w:t>согласно данным органов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статистики по крупным и средним предприятиям: 71253,4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руб.  </w:t>
            </w:r>
          </w:p>
          <w:p w14:paraId="41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Средняя стоимость часа работы: 424,13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руб.  </w:t>
            </w:r>
          </w:p>
          <w:p w14:paraId="42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Стоимость требования: 1 272,39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руб. в расчете на 1 ед. 424,13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х </w:t>
            </w:r>
            <w:r>
              <w:rPr>
                <w:rStyle w:val="Style_5_ch"/>
                <w:rFonts w:ascii="Times New Roman" w:hAnsi="Times New Roman"/>
                <w:sz w:val="24"/>
              </w:rPr>
              <w:t>(1+1+1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) </w:t>
            </w:r>
            <w:r>
              <w:rPr>
                <w:rStyle w:val="Style_5_ch"/>
                <w:rFonts w:ascii="Times New Roman" w:hAnsi="Times New Roman"/>
                <w:sz w:val="24"/>
              </w:rPr>
              <w:br/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или 2 544,78 руб. на планируемые 2 </w:t>
            </w:r>
            <w:r>
              <w:rPr>
                <w:rStyle w:val="Style_5_ch"/>
                <w:rFonts w:ascii="Times New Roman" w:hAnsi="Times New Roman"/>
                <w:sz w:val="24"/>
              </w:rPr>
              <w:t>объектов нестационарной торговли.</w:t>
            </w:r>
            <w:r>
              <w:rPr>
                <w:rStyle w:val="Style_5_ch"/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43000000">
      <w:pPr>
        <w:pStyle w:val="Style_4"/>
        <w:widowControl w:val="1"/>
        <w:ind w:firstLine="567"/>
        <w:jc w:val="both"/>
        <w:rPr>
          <w:rFonts w:ascii="Times New Roman" w:hAnsi="Times New Roman"/>
          <w:sz w:val="24"/>
        </w:rPr>
      </w:pPr>
    </w:p>
    <w:p w14:paraId="44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Необоснованные расходы, связанные с регулирующим воздействием </w:t>
      </w:r>
      <w:r>
        <w:rPr>
          <w:rFonts w:ascii="Times New Roman" w:hAnsi="Times New Roman"/>
          <w:sz w:val="28"/>
        </w:rPr>
        <w:t xml:space="preserve">проекта, отсутствуют. </w:t>
      </w:r>
    </w:p>
    <w:p w14:paraId="45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В соответствии с Порядком уполномоченный орган провел публичные </w:t>
      </w:r>
      <w:r>
        <w:rPr>
          <w:rFonts w:ascii="Times New Roman" w:hAnsi="Times New Roman"/>
          <w:sz w:val="28"/>
        </w:rPr>
        <w:t>консультации по проекту в период с</w:t>
      </w:r>
      <w:r>
        <w:rPr>
          <w:rFonts w:ascii="Times New Roman" w:hAnsi="Times New Roman"/>
          <w:sz w:val="28"/>
        </w:rPr>
        <w:t xml:space="preserve"> 15 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>28 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4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8. Информация о проводимых публичных консультациях размещена на официальном сайте администрации Ленинградского муниципального округа (www.adminlenkub.ru), а также направлена в адрес лиц с которыми </w:t>
      </w:r>
      <w:r>
        <w:rPr>
          <w:sz w:val="28"/>
        </w:rPr>
        <w:t>заключены соглашения о взаимодействии по вопросам проведения оценки регулирующего воздействия.</w:t>
      </w:r>
    </w:p>
    <w:p w14:paraId="47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48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По результатам оценки регулирующего воздействия сделаны выводы об</w:t>
      </w:r>
      <w:r>
        <w:rPr>
          <w:rFonts w:ascii="Times New Roman" w:hAnsi="Times New Roman"/>
          <w:sz w:val="28"/>
        </w:rPr>
        <w:t xml:space="preserve"> отсутствии в представленном проекте положений, вводящих избыточные административные обязанности, запреты и ограничения для субъектов  малого и среднего предпринимательства (юридических лиц, индивидуальных предпринимателей) или способствующих их введению, 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малого и среднего предпринимательства (юридических лиц, индивидуальных предпринимателей), а также необоснованных расходов местного бюджета (бюджета Ленинградского муниципального округа), и о возможности его дальнейшего согласования.</w:t>
      </w:r>
    </w:p>
    <w:p w14:paraId="49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</w:p>
    <w:p w14:paraId="4A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4B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4C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Body Text"/>
    <w:basedOn w:val="Style_5"/>
    <w:link w:val="Style_10_ch"/>
    <w:pPr>
      <w:widowControl w:val="1"/>
      <w:ind/>
      <w:jc w:val="center"/>
    </w:pPr>
    <w:rPr>
      <w:b w:val="1"/>
      <w:caps w:val="1"/>
      <w:sz w:val="28"/>
    </w:rPr>
  </w:style>
  <w:style w:styleId="Style_10_ch" w:type="character">
    <w:name w:val="Body Text"/>
    <w:basedOn w:val="Style_5_ch"/>
    <w:link w:val="Style_10"/>
    <w:rPr>
      <w:b w:val="1"/>
      <w:caps w:val="1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Strong"/>
    <w:basedOn w:val="Style_13"/>
    <w:link w:val="Style_12_ch"/>
    <w:rPr>
      <w:b w:val="1"/>
    </w:rPr>
  </w:style>
  <w:style w:styleId="Style_12_ch" w:type="character">
    <w:name w:val="Strong"/>
    <w:basedOn w:val="Style_13_ch"/>
    <w:link w:val="Style_12"/>
    <w:rPr>
      <w:b w:val="1"/>
    </w:rPr>
  </w:style>
  <w:style w:styleId="Style_14" w:type="paragraph">
    <w:name w:val="Гипертекстовая ссылка"/>
    <w:link w:val="Style_14_ch"/>
    <w:rPr>
      <w:b w:val="1"/>
      <w:color w:val="008000"/>
      <w:sz w:val="30"/>
    </w:rPr>
  </w:style>
  <w:style w:styleId="Style_14_ch" w:type="character">
    <w:name w:val="Гипертекстовая ссылка"/>
    <w:link w:val="Style_14"/>
    <w:rPr>
      <w:b w:val="1"/>
      <w:color w:val="008000"/>
      <w:sz w:val="30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5"/>
    <w:next w:val="Style_5"/>
    <w:link w:val="Style_16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6_ch" w:type="character">
    <w:name w:val="heading 3"/>
    <w:basedOn w:val="Style_5_ch"/>
    <w:link w:val="Style_16"/>
    <w:rPr>
      <w:rFonts w:asciiTheme="majorAscii" w:hAnsiTheme="majorHAnsi"/>
      <w:b w:val="1"/>
      <w:color w:themeColor="accent1" w:val="4F81BD"/>
    </w:rPr>
  </w:style>
  <w:style w:styleId="Style_17" w:type="paragraph">
    <w:name w:val="Default"/>
    <w:link w:val="Style_17_ch"/>
    <w:rPr>
      <w:color w:val="000000"/>
      <w:sz w:val="24"/>
    </w:rPr>
  </w:style>
  <w:style w:styleId="Style_17_ch" w:type="character">
    <w:name w:val="Default"/>
    <w:link w:val="Style_17"/>
    <w:rPr>
      <w:color w:val="000000"/>
      <w:sz w:val="24"/>
    </w:rPr>
  </w:style>
  <w:style w:styleId="Style_18" w:type="paragraph">
    <w:name w:val="No Spacing"/>
    <w:link w:val="Style_18_ch"/>
    <w:rPr>
      <w:sz w:val="26"/>
    </w:rPr>
  </w:style>
  <w:style w:styleId="Style_18_ch" w:type="character">
    <w:name w:val="No Spacing"/>
    <w:link w:val="Style_18"/>
    <w:rPr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19" w:type="paragraph">
    <w:name w:val="List Paragraph"/>
    <w:basedOn w:val="Style_5"/>
    <w:link w:val="Style_19_ch"/>
    <w:pPr>
      <w:widowControl w:val="1"/>
      <w:ind w:left="720"/>
      <w:contextualSpacing w:val="1"/>
    </w:pPr>
  </w:style>
  <w:style w:styleId="Style_19_ch" w:type="character">
    <w:name w:val="List Paragraph"/>
    <w:basedOn w:val="Style_5_ch"/>
    <w:link w:val="Style_19"/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20" w:type="paragraph">
    <w:name w:val="toc 3"/>
    <w:next w:val="Style_5"/>
    <w:link w:val="Style_2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blk"/>
    <w:basedOn w:val="Style_13"/>
    <w:link w:val="Style_21_ch"/>
  </w:style>
  <w:style w:styleId="Style_21_ch" w:type="character">
    <w:name w:val="blk"/>
    <w:basedOn w:val="Style_13_ch"/>
    <w:link w:val="Style_21"/>
  </w:style>
  <w:style w:styleId="Style_22" w:type="paragraph">
    <w:name w:val="heading 5"/>
    <w:next w:val="Style_5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Знак"/>
    <w:basedOn w:val="Style_5"/>
    <w:link w:val="Style_23_ch"/>
    <w:pPr>
      <w:widowControl w:val="1"/>
      <w:spacing w:after="160" w:line="240" w:lineRule="exact"/>
      <w:ind/>
    </w:pPr>
    <w:rPr>
      <w:rFonts w:ascii="Verdana" w:hAnsi="Verdana"/>
    </w:rPr>
  </w:style>
  <w:style w:styleId="Style_23_ch" w:type="character">
    <w:name w:val="Знак"/>
    <w:basedOn w:val="Style_5_ch"/>
    <w:link w:val="Style_23"/>
    <w:rPr>
      <w:rFonts w:ascii="Verdana" w:hAnsi="Verdana"/>
    </w:rPr>
  </w:style>
  <w:style w:styleId="Style_24" w:type="paragraph">
    <w:name w:val="heading 1"/>
    <w:basedOn w:val="Style_5"/>
    <w:next w:val="Style_5"/>
    <w:link w:val="Style_24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4_ch" w:type="character">
    <w:name w:val="heading 1"/>
    <w:basedOn w:val="Style_5_ch"/>
    <w:link w:val="Style_24"/>
    <w:rPr>
      <w:b w:val="1"/>
      <w:color w:val="000000"/>
      <w:spacing w:val="-4"/>
      <w:sz w:val="28"/>
    </w:rPr>
  </w:style>
  <w:style w:styleId="Style_25" w:type="paragraph">
    <w:name w:val="Прижатый влево"/>
    <w:basedOn w:val="Style_5"/>
    <w:next w:val="Style_5"/>
    <w:link w:val="Style_25_ch"/>
    <w:pPr>
      <w:widowControl w:val="1"/>
      <w:ind/>
    </w:pPr>
    <w:rPr>
      <w:rFonts w:ascii="Cambria Math" w:hAnsi="Cambria Math"/>
      <w:sz w:val="24"/>
    </w:rPr>
  </w:style>
  <w:style w:styleId="Style_25_ch" w:type="character">
    <w:name w:val="Прижатый влево"/>
    <w:basedOn w:val="Style_5_ch"/>
    <w:link w:val="Style_25"/>
    <w:rPr>
      <w:rFonts w:ascii="Cambria Math" w:hAnsi="Cambria Math"/>
      <w:sz w:val="24"/>
    </w:rPr>
  </w:style>
  <w:style w:styleId="Style_26" w:type="paragraph">
    <w:name w:val="Hyperlink"/>
    <w:basedOn w:val="Style_13"/>
    <w:link w:val="Style_26_ch"/>
    <w:rPr>
      <w:color w:val="0066CC"/>
      <w:u w:val="single"/>
    </w:rPr>
  </w:style>
  <w:style w:styleId="Style_26_ch" w:type="character">
    <w:name w:val="Hyperlink"/>
    <w:basedOn w:val="Style_13_ch"/>
    <w:link w:val="Style_26"/>
    <w:rPr>
      <w:color w:val="0066CC"/>
      <w:u w:val="single"/>
    </w:rPr>
  </w:style>
  <w:style w:styleId="Style_27" w:type="paragraph">
    <w:name w:val="Footnote"/>
    <w:link w:val="Style_2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5"/>
    <w:link w:val="Style_2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Основной текст1"/>
    <w:basedOn w:val="Style_5"/>
    <w:link w:val="Style_29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29_ch" w:type="character">
    <w:name w:val="Основной текст1"/>
    <w:basedOn w:val="Style_5_ch"/>
    <w:link w:val="Style_29"/>
    <w:rPr>
      <w:spacing w:val="5"/>
      <w:sz w:val="25"/>
    </w:rPr>
  </w:style>
  <w:style w:styleId="Style_30" w:type="paragraph">
    <w:name w:val="Header and Footer"/>
    <w:link w:val="Style_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toc 9"/>
    <w:next w:val="Style_5"/>
    <w:link w:val="Style_3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ConsPlusTitle"/>
    <w:link w:val="Style_32_ch"/>
    <w:pPr>
      <w:widowControl w:val="0"/>
      <w:ind/>
    </w:pPr>
    <w:rPr>
      <w:rFonts w:ascii="Arial" w:hAnsi="Arial"/>
      <w:b w:val="1"/>
    </w:rPr>
  </w:style>
  <w:style w:styleId="Style_32_ch" w:type="character">
    <w:name w:val="ConsPlusTitle"/>
    <w:link w:val="Style_32"/>
    <w:rPr>
      <w:rFonts w:ascii="Arial" w:hAnsi="Arial"/>
      <w:b w:val="1"/>
    </w:rPr>
  </w:style>
  <w:style w:styleId="Style_33" w:type="paragraph">
    <w:name w:val="toc 8"/>
    <w:next w:val="Style_5"/>
    <w:link w:val="Style_3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Нормальный (таблица)"/>
    <w:basedOn w:val="Style_5"/>
    <w:next w:val="Style_5"/>
    <w:link w:val="Style_34_ch"/>
    <w:pPr>
      <w:widowControl w:val="1"/>
      <w:ind/>
      <w:jc w:val="both"/>
    </w:pPr>
    <w:rPr>
      <w:rFonts w:ascii="Arial" w:hAnsi="Arial"/>
      <w:sz w:val="24"/>
    </w:rPr>
  </w:style>
  <w:style w:styleId="Style_34_ch" w:type="character">
    <w:name w:val="Нормальный (таблица)"/>
    <w:basedOn w:val="Style_5_ch"/>
    <w:link w:val="Style_34"/>
    <w:rPr>
      <w:rFonts w:ascii="Arial" w:hAnsi="Arial"/>
      <w:sz w:val="24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35" w:type="paragraph">
    <w:name w:val="toc 5"/>
    <w:next w:val="Style_5"/>
    <w:link w:val="Style_3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Balloon Text"/>
    <w:basedOn w:val="Style_5"/>
    <w:link w:val="Style_36_ch"/>
    <w:rPr>
      <w:rFonts w:ascii="Tahoma" w:hAnsi="Tahoma"/>
      <w:sz w:val="16"/>
    </w:rPr>
  </w:style>
  <w:style w:styleId="Style_36_ch" w:type="character">
    <w:name w:val="Balloon Text"/>
    <w:basedOn w:val="Style_5_ch"/>
    <w:link w:val="Style_36"/>
    <w:rPr>
      <w:rFonts w:ascii="Tahoma" w:hAnsi="Tahoma"/>
      <w:sz w:val="16"/>
    </w:rPr>
  </w:style>
  <w:style w:styleId="Style_37" w:type="paragraph">
    <w:name w:val="Основной текст (2)"/>
    <w:basedOn w:val="Style_5"/>
    <w:link w:val="Style_37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37_ch" w:type="character">
    <w:name w:val="Основной текст (2)"/>
    <w:basedOn w:val="Style_5_ch"/>
    <w:link w:val="Style_37"/>
    <w:rPr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8" w:type="paragraph">
    <w:name w:val="Subtitle"/>
    <w:next w:val="Style_5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5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5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eading 2"/>
    <w:basedOn w:val="Style_5"/>
    <w:next w:val="Style_5"/>
    <w:link w:val="Style_41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41_ch" w:type="character">
    <w:name w:val="heading 2"/>
    <w:basedOn w:val="Style_5_ch"/>
    <w:link w:val="Style_41"/>
    <w:rPr>
      <w:b w:val="1"/>
      <w:caps w:val="1"/>
      <w:color w:val="000000"/>
      <w:spacing w:val="-7"/>
      <w:sz w:val="28"/>
    </w:rPr>
  </w:style>
  <w:style w:styleId="Style_42" w:type="paragraph">
    <w:name w:val="Основной текст2"/>
    <w:basedOn w:val="Style_5"/>
    <w:link w:val="Style_42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42_ch" w:type="character">
    <w:name w:val="Основной текст2"/>
    <w:basedOn w:val="Style_5_ch"/>
    <w:link w:val="Style_42"/>
    <w:rPr>
      <w:color w:val="000000"/>
      <w:spacing w:val="8"/>
      <w:sz w:val="24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2026-07-14T06:02:00Z</dcterms:created>
  <dcterms:modified xsi:type="dcterms:W3CDTF">2026-09-30T08:53:02Z</dcterms:modified>
</cp:coreProperties>
</file>