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/>
      <w:bookmarkStart w:id="0" w:name="_GoBack"/>
      <w:r/>
      <w:bookmarkEnd w:id="0"/>
      <w:r>
        <w:rPr>
          <w:rFonts w:ascii="FreeSerif" w:hAnsi="FreeSerif" w:eastAsia="FreeSerif" w:cs="FreeSerif"/>
          <w:sz w:val="24"/>
          <w:szCs w:val="24"/>
        </w:rPr>
        <w:t xml:space="preserve">Приложение 2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tabs>
          <w:tab w:val="left" w:pos="709" w:leader="none"/>
        </w:tabs>
        <w:rPr>
          <w:rFonts w:ascii="FreeSerif" w:hAnsi="FreeSerif" w:eastAsia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jc w:val="center"/>
        <w:shd w:val="clear" w:color="ffffff" w:themeColor="background1" w:fill="ffffff" w:themeFill="background1"/>
        <w:tabs>
          <w:tab w:val="left" w:pos="709" w:leader="none"/>
        </w:tabs>
        <w:rPr>
          <w:rFonts w:ascii="FreeSerif" w:hAnsi="FreeSerif" w:cs="FreeSerif"/>
          <w:b/>
          <w:bCs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sz w:val="28"/>
          <w:szCs w:val="28"/>
          <w:highlight w:val="white"/>
        </w:rPr>
        <w:t xml:space="preserve">Основные итоги социально - экономического развития</w:t>
      </w:r>
      <w:r>
        <w:rPr>
          <w:rFonts w:ascii="FreeSerif" w:hAnsi="FreeSerif" w:cs="FreeSerif"/>
          <w:b/>
          <w:bCs/>
          <w:sz w:val="28"/>
          <w:szCs w:val="28"/>
          <w:highlight w:val="white"/>
        </w:rPr>
      </w:r>
      <w:r>
        <w:rPr>
          <w:rFonts w:ascii="FreeSerif" w:hAnsi="FreeSerif" w:cs="FreeSerif"/>
          <w:b/>
          <w:bCs/>
          <w:sz w:val="28"/>
          <w:szCs w:val="28"/>
          <w:highlight w:val="white"/>
        </w:rPr>
      </w:r>
    </w:p>
    <w:p>
      <w:pPr>
        <w:jc w:val="center"/>
        <w:shd w:val="clear" w:color="ffffff" w:themeColor="background1" w:fill="ffffff" w:themeFill="background1"/>
        <w:rPr>
          <w:rFonts w:ascii="FreeSerif" w:hAnsi="FreeSerif" w:cs="FreeSerif"/>
          <w:b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sz w:val="28"/>
          <w:szCs w:val="28"/>
          <w:highlight w:val="white"/>
        </w:rPr>
        <w:t xml:space="preserve">муниципального образования Ленинградского района</w:t>
      </w:r>
      <w:r>
        <w:rPr>
          <w:rFonts w:ascii="FreeSerif" w:hAnsi="FreeSerif" w:cs="FreeSerif"/>
          <w:b/>
          <w:sz w:val="28"/>
          <w:szCs w:val="28"/>
          <w:highlight w:val="white"/>
        </w:rPr>
      </w:r>
      <w:r>
        <w:rPr>
          <w:rFonts w:ascii="FreeSerif" w:hAnsi="FreeSerif" w:cs="FreeSerif"/>
          <w:b/>
          <w:sz w:val="28"/>
          <w:szCs w:val="28"/>
          <w:highlight w:val="white"/>
        </w:rPr>
      </w:r>
    </w:p>
    <w:p>
      <w:pPr>
        <w:jc w:val="center"/>
        <w:shd w:val="clear" w:color="ffffff" w:themeColor="background1" w:fill="ffffff" w:themeFill="background1"/>
        <w:tabs>
          <w:tab w:val="left" w:pos="709" w:leader="none"/>
        </w:tabs>
        <w:rPr>
          <w:rFonts w:ascii="FreeSerif" w:hAnsi="FreeSerif" w:cs="FreeSerif"/>
          <w:b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sz w:val="28"/>
          <w:szCs w:val="28"/>
          <w:highlight w:val="white"/>
        </w:rPr>
        <w:t xml:space="preserve">за январь – </w:t>
      </w:r>
      <w:r>
        <w:rPr>
          <w:rFonts w:ascii="FreeSerif" w:hAnsi="FreeSerif" w:eastAsia="FreeSerif" w:cs="FreeSerif"/>
          <w:b/>
          <w:sz w:val="28"/>
          <w:szCs w:val="28"/>
          <w:highlight w:val="white"/>
        </w:rPr>
        <w:t xml:space="preserve">сентябрь</w:t>
      </w:r>
      <w:r>
        <w:rPr>
          <w:rFonts w:ascii="FreeSerif" w:hAnsi="FreeSerif" w:eastAsia="FreeSerif" w:cs="FreeSerif"/>
          <w:b/>
          <w:sz w:val="28"/>
          <w:szCs w:val="28"/>
          <w:highlight w:val="white"/>
        </w:rPr>
        <w:t xml:space="preserve"> 2024 года</w:t>
      </w:r>
      <w:r>
        <w:rPr>
          <w:rFonts w:ascii="FreeSerif" w:hAnsi="FreeSerif" w:cs="FreeSerif"/>
          <w:b/>
          <w:sz w:val="28"/>
          <w:szCs w:val="28"/>
          <w:highlight w:val="white"/>
        </w:rPr>
      </w:r>
      <w:r>
        <w:rPr>
          <w:rFonts w:ascii="FreeSerif" w:hAnsi="FreeSerif" w:cs="FreeSerif"/>
          <w:b/>
          <w:sz w:val="28"/>
          <w:szCs w:val="28"/>
          <w:highlight w:val="white"/>
        </w:rPr>
      </w:r>
    </w:p>
    <w:p>
      <w:pPr>
        <w:ind w:left="851"/>
        <w:jc w:val="both"/>
        <w:shd w:val="clear" w:color="ffffff" w:themeColor="background1" w:fill="ffffff" w:themeFill="background1"/>
        <w:tabs>
          <w:tab w:val="left" w:pos="851" w:leader="none"/>
          <w:tab w:val="left" w:pos="2265" w:leader="none"/>
          <w:tab w:val="center" w:pos="5244" w:leader="none"/>
        </w:tabs>
        <w:rPr>
          <w:rFonts w:ascii="FreeSerif" w:hAnsi="FreeSerif" w:cs="FreeSerif"/>
          <w:b/>
          <w:sz w:val="28"/>
          <w:szCs w:val="28"/>
          <w:highlight w:val="white"/>
        </w:rPr>
      </w:pPr>
      <w:r>
        <w:rPr>
          <w:rFonts w:ascii="FreeSerif" w:hAnsi="FreeSerif" w:cs="FreeSerif"/>
          <w:b/>
          <w:sz w:val="28"/>
          <w:szCs w:val="28"/>
          <w:highlight w:val="white"/>
        </w:rPr>
      </w:r>
      <w:r>
        <w:rPr>
          <w:rFonts w:ascii="FreeSerif" w:hAnsi="FreeSerif" w:cs="FreeSerif"/>
          <w:b/>
          <w:sz w:val="28"/>
          <w:szCs w:val="28"/>
          <w:highlight w:val="white"/>
        </w:rPr>
      </w:r>
      <w:r>
        <w:rPr>
          <w:rFonts w:ascii="FreeSerif" w:hAnsi="FreeSerif" w:cs="FreeSerif"/>
          <w:b/>
          <w:sz w:val="28"/>
          <w:szCs w:val="28"/>
          <w:highlight w:val="white"/>
        </w:rPr>
      </w:r>
    </w:p>
    <w:p>
      <w:pPr>
        <w:jc w:val="center"/>
        <w:shd w:val="clear" w:color="ffffff" w:themeColor="background1" w:fill="ffffff" w:themeFill="background1"/>
        <w:tabs>
          <w:tab w:val="left" w:pos="2310" w:leader="none"/>
          <w:tab w:val="center" w:pos="5244" w:leader="none"/>
        </w:tabs>
        <w:rPr>
          <w:rFonts w:ascii="FreeSerif" w:hAnsi="FreeSerif" w:cs="FreeSerif"/>
          <w:b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sz w:val="28"/>
          <w:szCs w:val="28"/>
          <w:highlight w:val="white"/>
        </w:rPr>
        <w:t xml:space="preserve">1. Положение дел в промышленности</w:t>
      </w:r>
      <w:r>
        <w:rPr>
          <w:rFonts w:ascii="FreeSerif" w:hAnsi="FreeSerif" w:eastAsia="FreeSerif" w:cs="FreeSerif"/>
          <w:b/>
          <w:sz w:val="28"/>
          <w:szCs w:val="28"/>
          <w:highlight w:val="white"/>
        </w:rPr>
      </w:r>
      <w:r>
        <w:rPr>
          <w:rFonts w:ascii="FreeSerif" w:hAnsi="FreeSerif" w:cs="FreeSerif"/>
          <w:b/>
          <w:sz w:val="28"/>
          <w:szCs w:val="28"/>
          <w:highlight w:val="white"/>
        </w:rPr>
      </w:r>
    </w:p>
    <w:p>
      <w:pPr>
        <w:ind w:left="3086"/>
        <w:shd w:val="clear" w:color="ffffff" w:themeColor="background1" w:fill="ffffff" w:themeFill="background1"/>
        <w:tabs>
          <w:tab w:val="left" w:pos="2310" w:leader="none"/>
          <w:tab w:val="center" w:pos="5244" w:leader="none"/>
        </w:tabs>
        <w:rPr>
          <w:rFonts w:ascii="FreeSerif" w:hAnsi="FreeSerif" w:cs="FreeSerif"/>
          <w:b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sz w:val="28"/>
          <w:szCs w:val="28"/>
          <w:highlight w:val="white"/>
        </w:rPr>
      </w:r>
      <w:r>
        <w:rPr>
          <w:rFonts w:ascii="FreeSerif" w:hAnsi="FreeSerif" w:eastAsia="FreeSerif" w:cs="FreeSerif"/>
          <w:b/>
          <w:sz w:val="28"/>
          <w:szCs w:val="28"/>
          <w:highlight w:val="white"/>
        </w:rPr>
      </w:r>
      <w:r>
        <w:rPr>
          <w:rFonts w:ascii="FreeSerif" w:hAnsi="FreeSerif" w:cs="FreeSerif"/>
          <w:b/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tabs>
          <w:tab w:val="left" w:pos="709" w:leader="none"/>
          <w:tab w:val="left" w:pos="851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Ленинградский район относится к г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руппе муниципалитетов с агропро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мышленной специализацией.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tabs>
          <w:tab w:val="left" w:pos="709" w:leader="none"/>
          <w:tab w:val="left" w:pos="851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Обрабатывающие производства являются одной из ведущих базовых отраслей экономики района.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tabs>
          <w:tab w:val="left" w:pos="709" w:leader="none"/>
          <w:tab w:val="left" w:pos="851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По состоянию на 1 октября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2024 г.</w:t>
      </w:r>
      <w:r>
        <w:rPr>
          <w:rFonts w:ascii="FreeSerif" w:hAnsi="FreeSerif" w:eastAsia="FreeSerif" w:cs="FreeSerif"/>
          <w:b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в отрасли, «обрабатывающие производства» заняты крупные предприятия (ОАО «Сахарный завод Ленинградский», ЗАО «Сыродельный комбинат Ленинградский», ООО «Первомайская ИПС»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), 1 среднее предприятие (ООО «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Век»), более 20 малых и микропредприятий (ООО «Агроника», ООО «Агро-Продукт ЛКЗ», ООО «Ренард», ООО «Умань-Хлеб», ООО «Агроинвест Плюс», ООО «Ленинградский каравай», ООО «Альянс-Декар», ООО «МТК», ООО «Наше Масло», ООО МК «Александровский» и др.).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tabs>
          <w:tab w:val="left" w:pos="709" w:leader="none"/>
          <w:tab w:val="left" w:pos="851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«Объем отгруженных товаров собственного производства» январь- сентябрь 2024 года в действующих ценах по кругу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крупных и средних предприятий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составил 11172,9 млн, руб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лей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, или 100,7% к уровню январь-сентябрь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2023 г. За счет деятельности крупных и средних предприятий ОАО «Сахарный завод Ленинградский», ЗАО «Сыродельный комбинат Ленинградский», ООО «Первомайская ИПС»</w:t>
      </w:r>
      <w:r>
        <w:rPr>
          <w:rFonts w:ascii="FreeSerif" w:hAnsi="FreeSerif" w:eastAsia="FreeSerif" w:cs="FreeSerif"/>
          <w:sz w:val="28"/>
          <w:szCs w:val="28"/>
        </w:rPr>
        <w:t xml:space="preserve">, ООО «Век».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tabs>
          <w:tab w:val="left" w:pos="709" w:leader="none"/>
          <w:tab w:val="left" w:pos="851" w:leader="none"/>
        </w:tabs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«Обрабатывающее производства» январь-сентябрь 2024 г.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в действующих ценах по кругу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крупных и средних предприятий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составил </w:t>
      </w:r>
      <w:r>
        <w:rPr>
          <w:rFonts w:ascii="FreeSerif" w:hAnsi="FreeSerif" w:eastAsia="FreeSerif" w:cs="FreeSerif"/>
          <w:sz w:val="28"/>
          <w:szCs w:val="28"/>
        </w:rPr>
        <w:t xml:space="preserve">10811,7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млн. рублей, или </w:t>
      </w:r>
      <w:r>
        <w:rPr>
          <w:rFonts w:ascii="FreeSerif" w:hAnsi="FreeSerif" w:eastAsia="FreeSerif" w:cs="FreeSerif"/>
          <w:sz w:val="28"/>
          <w:szCs w:val="28"/>
        </w:rPr>
        <w:t xml:space="preserve">98%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к уровню январь-сентябрь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2023 г.</w:t>
      </w:r>
      <w:r>
        <w:rPr>
          <w:rFonts w:ascii="FreeSerif" w:hAnsi="FreeSerif" w:eastAsia="FreeSerif" w:cs="FreeSerif"/>
          <w:sz w:val="28"/>
          <w:szCs w:val="28"/>
        </w:rPr>
        <w:t xml:space="preserve"> Снижение показателя обусловлено деятельностью: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ind w:firstLine="709"/>
        <w:jc w:val="both"/>
        <w:shd w:val="clear" w:color="ffffff" w:themeColor="background1" w:fill="ffffff" w:themeFill="background1"/>
        <w:tabs>
          <w:tab w:val="left" w:pos="709" w:leader="none"/>
          <w:tab w:val="left" w:pos="851" w:leader="none"/>
        </w:tabs>
        <w:rPr>
          <w:rFonts w:ascii="FreeSerif" w:hAnsi="FreeSerif" w:cs="FreeSerif"/>
          <w:color w:val="000000"/>
          <w:sz w:val="28"/>
          <w:szCs w:val="28"/>
          <w:highlight w:val="lightGray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ОАО «Сахарный завод Ленинградский»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отгрузка сахара за январь- сентябрь 2024 г. 5 665,6 млн.руб. или 89%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к уровню январь-сентябрь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2023 г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.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В связи с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снижением сырьевой базы (сахарной свеклы почти в 2 раза в связи с неблагоприятными погодными условиями, а именно засухой)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.</w:t>
      </w:r>
      <w:r>
        <w:rPr>
          <w:rFonts w:ascii="FreeSerif" w:hAnsi="FreeSerif" w:eastAsia="FreeSerif" w:cs="FreeSerif"/>
          <w:color w:val="000000"/>
          <w:sz w:val="28"/>
          <w:szCs w:val="28"/>
          <w:highlight w:val="lightGray"/>
        </w:rPr>
        <w:t xml:space="preserve"> </w:t>
      </w:r>
      <w:r>
        <w:rPr>
          <w:rFonts w:ascii="FreeSerif" w:hAnsi="FreeSerif" w:eastAsia="FreeSerif" w:cs="FreeSerif"/>
          <w:color w:val="000000"/>
          <w:sz w:val="28"/>
          <w:szCs w:val="28"/>
          <w:highlight w:val="lightGray"/>
        </w:rPr>
      </w:r>
      <w:r>
        <w:rPr>
          <w:rFonts w:ascii="FreeSerif" w:hAnsi="FreeSerif" w:cs="FreeSerif"/>
          <w:color w:val="000000"/>
          <w:sz w:val="28"/>
          <w:szCs w:val="28"/>
          <w:highlight w:val="lightGray"/>
        </w:rPr>
      </w:r>
    </w:p>
    <w:p>
      <w:pPr>
        <w:ind w:firstLine="709"/>
        <w:jc w:val="both"/>
        <w:shd w:val="clear" w:color="ffffff" w:themeColor="background1" w:fill="ffffff" w:themeFill="background1"/>
        <w:tabs>
          <w:tab w:val="left" w:pos="709" w:leader="none"/>
          <w:tab w:val="left" w:pos="851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ООО «Первомайская ИПС» частичное закрытие производственных площадок в 2023-2024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году.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Изменения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на предприятии ООО «Первомайская ИПС» связаны со сменой собственника, отгрузка регулируется внутренней политикой предприятия.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tabs>
          <w:tab w:val="left" w:pos="709" w:leader="none"/>
          <w:tab w:val="left" w:pos="851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По предприятию «лёгкой промышленности»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А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 «БТК групп» ОП в ст. Ленинградской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показатель по виду деятельности «производство одежды» увеличен в 8,2 раза к уровню аналогичного периода 2023 года. Увеличение показателя обусловлено заключением государственных контрактов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.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tabs>
          <w:tab w:val="left" w:pos="709" w:leader="none"/>
          <w:tab w:val="left" w:pos="851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По предприятиям, относящимся к к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атегории «Обеспечение электриче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ской энергией, газом и паром; кондиционирование воздуха» объем отгрузки составил в январе-сентябре 2024 г. – 86,4 млн. рублей, или 128,2% к уровню аналогичного периода 2023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г. Это обусловлено увеличением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количества оказываемых услуг населению района филиалом ПАО «Россети Кубань».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tabs>
          <w:tab w:val="left" w:pos="709" w:leader="none"/>
          <w:tab w:val="left" w:pos="851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По виду деятельности «Производство пищевых продуктов» объем отгрузки увеличился на 1,3 % к уровню сентября 2023 г. и составил 9371,6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млн.рублей. За счет предприятий  ЗАО «Сыродельный комбинат Ленинградский» открытие площадок по изготовлению сыров, так как в ходе проведенного  предприятием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ЗАО «Сыродельный комбинат Ленинградский»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мон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иторинга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выявлен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спрос у населения на данный вид продукции.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tabs>
          <w:tab w:val="left" w:pos="709" w:leader="none"/>
          <w:tab w:val="left" w:pos="851" w:leader="none"/>
        </w:tabs>
        <w:rPr>
          <w:rFonts w:ascii="FreeSerif" w:hAnsi="FreeSerif" w:cs="FreeSerif"/>
          <w:b w:val="0"/>
          <w:bCs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</w:r>
      <w:r>
        <w:rPr>
          <w:rFonts w:ascii="FreeSerif" w:hAnsi="FreeSerif" w:eastAsia="FreeSerif" w:cs="FreeSerif"/>
          <w:b w:val="0"/>
          <w:bCs w:val="0"/>
          <w:i w:val="0"/>
          <w:strike w:val="0"/>
          <w:color w:val="000000"/>
          <w:sz w:val="28"/>
          <w:szCs w:val="28"/>
          <w:highlight w:val="white"/>
          <w:u w:val="none"/>
          <w:vertAlign w:val="baseline"/>
        </w:rPr>
        <w:t xml:space="preserve">По показателю «производство молочной продукции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»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увеличился на 9 % к уровню сентября 2023 г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. За счет 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ассортимента выпускаемой продукции на предприятии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ЗАО «Сыродельный комбинат Ленинградский» 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торговой марки «Кубанский молочник»   включает в себя молоко, сливки, мацони, ряженку, термостатные продукты, йогурты, сыры и др. Рост показателя в январе-сентябре 2024 года обусловлен импортозамещением сырной продукции из за санкционного влиян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ия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. Материалы используемые предприятием для упаковки продукции, а также ингредиенты используемые для производства кисломолочной продукции высокого качества, за счет этого и себестоимость товара выше. Товар в категории первой необходимости всегда в спросе у п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окупателей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  <w:t xml:space="preserve">.</w:t>
      </w:r>
      <w:r>
        <w:rPr>
          <w:rFonts w:ascii="FreeSerif" w:hAnsi="FreeSerif" w:eastAsia="FreeSerif" w:cs="FreeSerif"/>
          <w:b w:val="0"/>
          <w:bCs w:val="0"/>
          <w:sz w:val="28"/>
          <w:szCs w:val="28"/>
          <w:highlight w:val="white"/>
        </w:rPr>
      </w:r>
      <w:r>
        <w:rPr>
          <w:rFonts w:ascii="FreeSerif" w:hAnsi="FreeSerif" w:cs="FreeSerif"/>
          <w:b w:val="0"/>
          <w:bCs w:val="0"/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tabs>
          <w:tab w:val="left" w:pos="709" w:leader="none"/>
          <w:tab w:val="left" w:pos="851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За январь-сентябрь 2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024 г. промышленными пред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приятиями, категории крупные и средние предприятия, и подсобными производствами сельскохозяйственных предприятий произведено продукции в натуральном выражении: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jc w:val="both"/>
        <w:shd w:val="clear" w:color="ffffff" w:themeColor="background1" w:fill="ffffff" w:themeFill="background1"/>
        <w:tabs>
          <w:tab w:val="left" w:pos="709" w:leader="none"/>
          <w:tab w:val="left" w:pos="851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ab/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са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хар - 5 665,623 тыс.тонн, за счет предприятия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ОАО «Сахарный завод Ленинградский».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jc w:val="both"/>
        <w:shd w:val="clear" w:color="ffffff" w:themeColor="background1" w:fill="ffffff" w:themeFill="background1"/>
        <w:tabs>
          <w:tab w:val="left" w:pos="709" w:leader="none"/>
          <w:tab w:val="left" w:pos="851" w:leader="none"/>
        </w:tabs>
        <w:rPr>
          <w:rFonts w:ascii="FreeSerif" w:hAnsi="FreeSerif" w:cs="FreeSerif"/>
          <w:color w:val="000000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ab/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мясо, включая субпродукты –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6174,51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тонн,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з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а счет предприятий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ООО «Первомайская ИПС»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, МК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«Александровский»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, ООО МТК.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</w:r>
      <w:r>
        <w:rPr>
          <w:rFonts w:ascii="FreeSerif" w:hAnsi="FreeSerif" w:cs="FreeSerif"/>
          <w:color w:val="000000"/>
          <w:sz w:val="28"/>
          <w:szCs w:val="28"/>
          <w:highlight w:val="white"/>
        </w:rPr>
      </w:r>
    </w:p>
    <w:p>
      <w:pPr>
        <w:jc w:val="both"/>
        <w:shd w:val="clear" w:color="ffffff" w:themeColor="background1" w:fill="ffffff" w:themeFill="background1"/>
        <w:tabs>
          <w:tab w:val="left" w:pos="709" w:leader="none"/>
          <w:tab w:val="left" w:pos="851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ab/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панели ПВХ –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1690,213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кв.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м.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,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з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а счет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ООО «Век»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использует высокотехнологическое оборудование от ведущих производителей. Наращивание производства растет, за счет оптовой реализации, а также экспортных сделок в страны ближнего з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а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рубежья.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781"/>
        <w:shd w:val="clear" w:color="ffffff" w:themeColor="background1" w:fill="ffffff" w:themeFill="background1"/>
        <w:tabs>
          <w:tab w:val="left" w:pos="709" w:leader="none"/>
        </w:tabs>
        <w:rPr>
          <w:rFonts w:ascii="FreeSerif" w:hAnsi="FreeSerif" w:cs="FreeSerif"/>
          <w:b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sz w:val="28"/>
          <w:szCs w:val="28"/>
          <w:highlight w:val="white"/>
        </w:rPr>
      </w:r>
      <w:r>
        <w:rPr>
          <w:rFonts w:ascii="FreeSerif" w:hAnsi="FreeSerif" w:eastAsia="FreeSerif" w:cs="FreeSerif"/>
          <w:b/>
          <w:sz w:val="28"/>
          <w:szCs w:val="28"/>
          <w:highlight w:val="white"/>
        </w:rPr>
      </w:r>
      <w:r>
        <w:rPr>
          <w:rFonts w:ascii="FreeSerif" w:hAnsi="FreeSerif" w:cs="FreeSerif"/>
          <w:b/>
          <w:sz w:val="28"/>
          <w:szCs w:val="28"/>
          <w:highlight w:val="white"/>
        </w:rPr>
      </w:r>
    </w:p>
    <w:p>
      <w:pPr>
        <w:pStyle w:val="781"/>
        <w:jc w:val="center"/>
        <w:shd w:val="clear" w:color="ffffff" w:themeColor="background1" w:fill="ffffff" w:themeFill="background1"/>
        <w:tabs>
          <w:tab w:val="left" w:pos="709" w:leader="none"/>
        </w:tabs>
        <w:rPr>
          <w:rFonts w:ascii="FreeSerif" w:hAnsi="FreeSerif" w:cs="FreeSerif"/>
          <w:b/>
          <w:bCs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sz w:val="28"/>
          <w:szCs w:val="28"/>
          <w:highlight w:val="white"/>
        </w:rPr>
        <w:t xml:space="preserve">2. Развитие сельскохозяйственного производства</w:t>
      </w:r>
      <w:r>
        <w:rPr>
          <w:rFonts w:ascii="FreeSerif" w:hAnsi="FreeSerif" w:eastAsia="FreeSerif" w:cs="FreeSerif"/>
          <w:b/>
          <w:bCs/>
          <w:sz w:val="28"/>
          <w:szCs w:val="28"/>
          <w:highlight w:val="white"/>
        </w:rPr>
      </w:r>
      <w:r>
        <w:rPr>
          <w:rFonts w:ascii="FreeSerif" w:hAnsi="FreeSerif" w:cs="FreeSerif"/>
          <w:b/>
          <w:bCs/>
          <w:sz w:val="28"/>
          <w:szCs w:val="28"/>
          <w:highlight w:val="white"/>
        </w:rPr>
      </w:r>
    </w:p>
    <w:p>
      <w:pPr>
        <w:jc w:val="both"/>
        <w:shd w:val="clear" w:color="ffffff" w:themeColor="background1" w:fill="ffffff" w:themeFill="background1"/>
        <w:tabs>
          <w:tab w:val="left" w:pos="709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jc w:val="both"/>
        <w:shd w:val="clear" w:color="ffffff" w:themeColor="background1" w:fill="ffffff" w:themeFill="background1"/>
        <w:tabs>
          <w:tab w:val="left" w:pos="709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/>
          <w:sz w:val="28"/>
          <w:highlight w:val="white"/>
        </w:rPr>
        <w:tab/>
      </w:r>
      <w:r>
        <w:rPr>
          <w:rFonts w:ascii="FreeSerif" w:hAnsi="FreeSerif" w:eastAsia="FreeSerif" w:cs="FreeSerif"/>
          <w:color w:val="000000"/>
          <w:sz w:val="28"/>
          <w:highlight w:val="white"/>
        </w:rPr>
        <w:t xml:space="preserve">В муниципальном образовании Ленинградский район</w:t>
      </w:r>
      <w:r>
        <w:rPr>
          <w:rFonts w:ascii="FreeSerif" w:hAnsi="FreeSerif" w:eastAsia="FreeSerif" w:cs="FreeSerif"/>
          <w:color w:val="2c2d2e"/>
          <w:sz w:val="23"/>
          <w:highlight w:val="white"/>
        </w:rPr>
        <w:t xml:space="preserve"> </w:t>
      </w:r>
      <w:r>
        <w:rPr>
          <w:rFonts w:ascii="FreeSerif" w:hAnsi="FreeSerif" w:eastAsia="FreeSerif" w:cs="FreeSerif"/>
          <w:color w:val="000000"/>
          <w:sz w:val="28"/>
          <w:highlight w:val="white"/>
        </w:rPr>
        <w:t xml:space="preserve">по состоянию на 1 октября 2024 г. в растениеводстве</w:t>
      </w:r>
      <w:r>
        <w:rPr>
          <w:rFonts w:ascii="FreeSerif" w:hAnsi="FreeSerif" w:eastAsia="FreeSerif" w:cs="FreeSerif"/>
          <w:color w:val="000000"/>
          <w:sz w:val="28"/>
          <w:highlight w:val="white"/>
        </w:rPr>
        <w:t xml:space="preserve"> и животноводстве, охоте и предоставлении соответствующих услуг участвовали 5 крупных предприятий (АО «Белое», АО «Трудовое», ОАО «Имени Ильича», ООО «Краснодарский бройлер», ООО «Птицефабрика Уманская»), 3 средних предприятия (АО</w:t>
      </w:r>
      <w:r>
        <w:rPr>
          <w:rFonts w:ascii="FreeSerif" w:hAnsi="FreeSerif" w:eastAsia="FreeSerif" w:cs="FreeSerif"/>
          <w:color w:val="2c2d2e"/>
          <w:sz w:val="23"/>
          <w:highlight w:val="white"/>
        </w:rPr>
        <w:t xml:space="preserve"> </w:t>
      </w:r>
      <w:r>
        <w:rPr>
          <w:rFonts w:ascii="FreeSerif" w:hAnsi="FreeSerif" w:eastAsia="FreeSerif" w:cs="FreeSerif"/>
          <w:color w:val="000000"/>
          <w:sz w:val="28"/>
          <w:highlight w:val="white"/>
        </w:rPr>
        <w:t xml:space="preserve">Ленинградское, ООО «Вторая Пятилетка», ООО «Южное ААА»), а также 22 с</w:t>
      </w:r>
      <w:r>
        <w:rPr>
          <w:rFonts w:ascii="FreeSerif" w:hAnsi="FreeSerif" w:eastAsia="FreeSerif" w:cs="FreeSerif"/>
          <w:color w:val="000000"/>
          <w:sz w:val="28"/>
          <w:highlight w:val="white"/>
        </w:rPr>
        <w:t xml:space="preserve">ельскохозяйственных предприятия относящиеся к </w:t>
      </w:r>
      <w:r>
        <w:rPr>
          <w:rFonts w:ascii="FreeSerif" w:hAnsi="FreeSerif" w:eastAsia="FreeSerif" w:cs="FreeSerif"/>
          <w:color w:val="000000"/>
          <w:sz w:val="28"/>
          <w:highlight w:val="white"/>
        </w:rPr>
        <w:t xml:space="preserve">категории</w:t>
      </w:r>
      <w:r>
        <w:rPr>
          <w:rFonts w:ascii="FreeSerif" w:hAnsi="FreeSerif" w:eastAsia="FreeSerif" w:cs="FreeSerif"/>
          <w:color w:val="000000"/>
          <w:sz w:val="28"/>
          <w:highlight w:val="white"/>
        </w:rPr>
        <w:t xml:space="preserve"> малые и микропредприятия </w:t>
      </w:r>
      <w:r>
        <w:rPr>
          <w:rFonts w:ascii="FreeSerif" w:hAnsi="FreeSerif" w:eastAsia="FreeSerif" w:cs="FreeSerif"/>
          <w:color w:val="000000"/>
          <w:sz w:val="28"/>
          <w:highlight w:val="white"/>
        </w:rPr>
        <w:t xml:space="preserve">(ООО </w:t>
      </w:r>
      <w:r>
        <w:rPr>
          <w:rFonts w:ascii="FreeSerif" w:hAnsi="FreeSerif" w:eastAsia="FreeSerif" w:cs="FreeSerif"/>
          <w:color w:val="000000"/>
          <w:sz w:val="28"/>
          <w:highlight w:val="white"/>
        </w:rPr>
        <w:t xml:space="preserve">«Бетонсервис», АО Племзавод </w:t>
      </w:r>
      <w:r>
        <w:rPr>
          <w:rFonts w:ascii="FreeSerif" w:hAnsi="FreeSerif" w:eastAsia="FreeSerif" w:cs="FreeSerif"/>
          <w:color w:val="000000"/>
          <w:sz w:val="28"/>
          <w:highlight w:val="white"/>
        </w:rPr>
        <w:t xml:space="preserve">«Соревнование»,</w:t>
      </w:r>
      <w:r>
        <w:rPr>
          <w:rFonts w:ascii="FreeSerif" w:hAnsi="FreeSerif" w:eastAsia="FreeSerif" w:cs="FreeSerif"/>
          <w:color w:val="2c2d2e"/>
          <w:sz w:val="23"/>
          <w:highlight w:val="white"/>
        </w:rPr>
        <w:t xml:space="preserve"> </w:t>
      </w:r>
      <w:r>
        <w:rPr>
          <w:rFonts w:ascii="FreeSerif" w:hAnsi="FreeSerif" w:eastAsia="FreeSerif" w:cs="FreeSerif"/>
          <w:color w:val="000000"/>
          <w:sz w:val="28"/>
          <w:highlight w:val="white"/>
        </w:rPr>
        <w:t xml:space="preserve">ООО «Агроинновация», ООО </w:t>
      </w:r>
      <w:r>
        <w:rPr>
          <w:rFonts w:ascii="FreeSerif" w:hAnsi="FreeSerif" w:eastAsia="FreeSerif" w:cs="FreeSerif"/>
          <w:color w:val="000000"/>
          <w:sz w:val="28"/>
          <w:highlight w:val="white"/>
        </w:rPr>
        <w:t xml:space="preserve">«А</w:t>
      </w:r>
      <w:r>
        <w:rPr>
          <w:rFonts w:ascii="FreeSerif" w:hAnsi="FreeSerif" w:eastAsia="FreeSerif" w:cs="FreeSerif"/>
          <w:color w:val="000000"/>
          <w:sz w:val="28"/>
          <w:highlight w:val="white"/>
        </w:rPr>
        <w:t xml:space="preserve">льянсДекар», ООО «Альянс», ООО </w:t>
      </w:r>
      <w:r>
        <w:rPr>
          <w:rFonts w:ascii="FreeSerif" w:hAnsi="FreeSerif" w:eastAsia="FreeSerif" w:cs="FreeSerif"/>
          <w:color w:val="000000"/>
          <w:sz w:val="28"/>
          <w:highlight w:val="white"/>
        </w:rPr>
        <w:t xml:space="preserve">«Виктория», ООО «Дарница», ООО «Им.</w:t>
      </w:r>
      <w:r>
        <w:rPr>
          <w:rFonts w:ascii="FreeSerif" w:hAnsi="FreeSerif" w:eastAsia="FreeSerif" w:cs="FreeSerif"/>
          <w:color w:val="000000"/>
          <w:sz w:val="28"/>
          <w:highlight w:val="white"/>
        </w:rPr>
        <w:t xml:space="preserve"> М. Горького», ООО «Искра», ООО «КвасСервис Агро», ООО «Концепт </w:t>
      </w:r>
      <w:r>
        <w:rPr>
          <w:rFonts w:ascii="FreeSerif" w:hAnsi="FreeSerif" w:eastAsia="FreeSerif" w:cs="FreeSerif"/>
          <w:color w:val="000000"/>
          <w:sz w:val="28"/>
          <w:highlight w:val="white"/>
        </w:rPr>
        <w:t xml:space="preserve">Трио», ООО «Крыловское», ООО «Кубань», ООО «Мясной дом «Добрый фермер», ООО НПО «НИВА», ООО «Планета зелени», ООО «Родина», ООО</w:t>
      </w:r>
      <w:r>
        <w:rPr>
          <w:rFonts w:ascii="FreeSerif" w:hAnsi="FreeSerif" w:eastAsia="FreeSerif" w:cs="FreeSerif"/>
          <w:color w:val="000000"/>
          <w:sz w:val="28"/>
          <w:highlight w:val="white"/>
        </w:rPr>
        <w:t xml:space="preserve"> «Родник», ООО «СКК» «Фабрика семян», ООО "ЮГ Агротехника»", ООО НПП «Семена Кубани»), 4 сельскохозяйственных кооператива (СПК «Им. А. Головатого»,СПК «Им.  М. Горького», СПК «Казачий Стан», СПК «Умань – Агро»,172 крестьянско-фермерских хозяйств (КФХ «Тепл</w:t>
      </w:r>
      <w:r>
        <w:rPr>
          <w:rFonts w:ascii="FreeSerif" w:hAnsi="FreeSerif" w:eastAsia="FreeSerif" w:cs="FreeSerif"/>
          <w:color w:val="000000"/>
          <w:sz w:val="28"/>
          <w:highlight w:val="white"/>
        </w:rPr>
        <w:t xml:space="preserve">ый стан», ОСП КФХ «Оскар», КФХ «Аякс», КФХ «Тихое», КФХ «Ближнее», ИП главы КФХ Раджабов А.Г., Карпенков Э.В.,  Сорока М.Г. и др.) и 18421  единицы личных подсобных хозяйств (ЛПХ Пташник С.В, ЛПХ Кондаурова И.А., ЛПХ Клёва А.М., ЛПХ Требушняя О.Ю., и др.).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jc w:val="both"/>
        <w:shd w:val="clear" w:color="ffffff" w:themeColor="background1" w:fill="ffffff" w:themeFill="background1"/>
        <w:tabs>
          <w:tab w:val="left" w:pos="709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ab/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Объем отгруженной продукции «сельского хозяйства» за январь-сентябрь 2024 г.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составил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5651,8 млн. рублей или 122,5 % к уровню аналогичного периода 2023 г.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Увеличение за счет</w:t>
      </w:r>
      <w:r>
        <w:rPr>
          <w:rFonts w:ascii="FreeSerif" w:hAnsi="FreeSerif" w:eastAsia="FreeSerif" w:cs="FreeSerif"/>
          <w:iCs/>
          <w:color w:val="000000"/>
          <w:sz w:val="28"/>
          <w:szCs w:val="28"/>
          <w:highlight w:val="white"/>
        </w:rPr>
        <w:t xml:space="preserve"> реализации масличных культур ООО «Вторая пятилетка», реализация зернобобовых культур ООО «Юг</w:t>
      </w:r>
      <w:r>
        <w:rPr>
          <w:rFonts w:ascii="FreeSerif" w:hAnsi="FreeSerif" w:eastAsia="FreeSerif" w:cs="FreeSerif"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iCs/>
          <w:color w:val="000000"/>
          <w:sz w:val="28"/>
          <w:szCs w:val="28"/>
          <w:highlight w:val="white"/>
        </w:rPr>
        <w:t xml:space="preserve">- Агротехника», зерновых культур АО «Ленинградское», семечковых и косточковых культур на основании реализации плодовой продукции в ООО «Южное ААА», АО «Трудовое», животноводство </w:t>
      </w:r>
      <w:r>
        <w:rPr>
          <w:rFonts w:ascii="FreeSerif" w:hAnsi="FreeSerif" w:eastAsia="FreeSerif" w:cs="FreeSerif"/>
          <w:iCs/>
          <w:color w:val="000000"/>
          <w:sz w:val="28"/>
          <w:szCs w:val="28"/>
          <w:highlight w:val="white"/>
        </w:rPr>
        <w:t xml:space="preserve">- </w:t>
      </w:r>
      <w:r>
        <w:rPr>
          <w:rFonts w:ascii="FreeSerif" w:hAnsi="FreeSerif" w:eastAsia="FreeSerif" w:cs="FreeSerif"/>
          <w:iCs/>
          <w:color w:val="000000"/>
          <w:sz w:val="28"/>
          <w:szCs w:val="28"/>
          <w:highlight w:val="white"/>
        </w:rPr>
        <w:t xml:space="preserve">за счет </w:t>
      </w:r>
      <w:r>
        <w:rPr>
          <w:rFonts w:ascii="FreeSerif" w:hAnsi="FreeSerif" w:eastAsia="FreeSerif" w:cs="FreeSerif"/>
          <w:iCs/>
          <w:color w:val="000000"/>
          <w:sz w:val="28"/>
          <w:szCs w:val="28"/>
          <w:highlight w:val="white"/>
        </w:rPr>
        <w:t xml:space="preserve">ООО «Первомайская ИПС»</w:t>
      </w:r>
      <w:r>
        <w:rPr>
          <w:rFonts w:ascii="FreeSerif" w:hAnsi="FreeSerif" w:eastAsia="FreeSerif" w:cs="FreeSerif"/>
          <w:iCs/>
          <w:color w:val="000000"/>
          <w:sz w:val="28"/>
          <w:szCs w:val="28"/>
          <w:highlight w:val="white"/>
        </w:rPr>
        <w:t xml:space="preserve">.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jc w:val="both"/>
        <w:shd w:val="clear" w:color="ffffff" w:themeColor="background1" w:fill="ffffff" w:themeFill="background1"/>
        <w:tabs>
          <w:tab w:val="left" w:pos="709" w:leader="none"/>
        </w:tabs>
        <w:rPr>
          <w:rFonts w:ascii="FreeSerif" w:hAnsi="FreeSerif" w:cs="FreeSerif"/>
          <w:color w:val="000000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/>
          <w:sz w:val="28"/>
          <w:highlight w:val="white"/>
        </w:rPr>
        <w:tab/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Рост объема отгруженной сельскохозяйственной продукции связан с ростом производства продукции животноводства: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</w:r>
      <w:r>
        <w:rPr>
          <w:rFonts w:ascii="FreeSerif" w:hAnsi="FreeSerif" w:cs="FreeSerif"/>
          <w:color w:val="000000"/>
          <w:sz w:val="28"/>
          <w:szCs w:val="28"/>
          <w:highlight w:val="white"/>
        </w:rPr>
      </w:r>
    </w:p>
    <w:p>
      <w:pPr>
        <w:jc w:val="both"/>
        <w:shd w:val="clear" w:color="ffffff" w:themeColor="background1" w:fill="ffffff" w:themeFill="background1"/>
        <w:tabs>
          <w:tab w:val="left" w:pos="709" w:leader="none"/>
        </w:tabs>
        <w:rPr>
          <w:rFonts w:ascii="FreeSerif" w:hAnsi="FreeSerif" w:cs="FreeSerif"/>
          <w:color w:val="000000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ab/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- 10127,0 тонн мяса скота и птицы в живом весе, с темпом роста к аналогичному периоду прошлого года 114,6% за счет предприятий ООО «Птицефабрика Уманская», АО «Ленинградское», </w:t>
      </w:r>
      <w:r>
        <w:rPr>
          <w:rFonts w:ascii="FreeSerif" w:hAnsi="FreeSerif" w:eastAsia="FreeSerif" w:cs="FreeSerif"/>
          <w:color w:val="000000"/>
          <w:sz w:val="28"/>
          <w:highlight w:val="white"/>
        </w:rPr>
        <w:t xml:space="preserve">ЗАО «Имени Ильича»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, АО «Агрокомплекс Павловский»;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</w:r>
      <w:r>
        <w:rPr>
          <w:rFonts w:ascii="FreeSerif" w:hAnsi="FreeSerif" w:cs="FreeSerif"/>
          <w:color w:val="000000"/>
          <w:sz w:val="28"/>
          <w:szCs w:val="28"/>
          <w:highlight w:val="white"/>
        </w:rPr>
      </w:r>
    </w:p>
    <w:p>
      <w:pPr>
        <w:jc w:val="both"/>
        <w:shd w:val="clear" w:color="ffffff" w:themeColor="background1" w:fill="ffffff" w:themeFill="background1"/>
        <w:tabs>
          <w:tab w:val="left" w:pos="709" w:leader="none"/>
        </w:tabs>
        <w:rPr>
          <w:rFonts w:ascii="FreeSerif" w:hAnsi="FreeSerif" w:cs="FreeSerif"/>
          <w:color w:val="000000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ab/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- 24679,2 тонн молока, или 107,9 % к уровню прошлого года, за счёт предприятия </w:t>
      </w:r>
      <w:r>
        <w:rPr>
          <w:rFonts w:ascii="FreeSerif" w:hAnsi="FreeSerif" w:eastAsia="FreeSerif" w:cs="FreeSerif"/>
          <w:color w:val="000000"/>
          <w:sz w:val="28"/>
          <w:highlight w:val="white"/>
        </w:rPr>
        <w:t xml:space="preserve">ОАО «Имени Ильича»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;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</w:r>
      <w:r>
        <w:rPr>
          <w:rFonts w:ascii="FreeSerif" w:hAnsi="FreeSerif" w:cs="FreeSerif"/>
          <w:color w:val="000000"/>
          <w:sz w:val="28"/>
          <w:szCs w:val="28"/>
          <w:highlight w:val="white"/>
        </w:rPr>
      </w:r>
    </w:p>
    <w:p>
      <w:pPr>
        <w:jc w:val="both"/>
        <w:shd w:val="clear" w:color="ffffff" w:themeColor="background1" w:fill="ffffff" w:themeFill="background1"/>
        <w:tabs>
          <w:tab w:val="left" w:pos="709" w:leader="none"/>
        </w:tabs>
        <w:rPr>
          <w:rFonts w:ascii="FreeSerif" w:hAnsi="FreeSerif" w:cs="FreeSerif"/>
          <w:color w:val="000000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ab/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- 40147,5 тыс.штук. штук куриных яиц, это 111,6 % к уровню прошлого года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,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за счет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производственных площадок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«ООО Первомайская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ИПС».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</w:r>
      <w:r>
        <w:rPr>
          <w:rFonts w:ascii="FreeSerif" w:hAnsi="FreeSerif" w:cs="FreeSerif"/>
          <w:color w:val="000000"/>
          <w:sz w:val="28"/>
          <w:szCs w:val="28"/>
          <w:highlight w:val="white"/>
        </w:rPr>
      </w:r>
    </w:p>
    <w:p>
      <w:pPr>
        <w:pStyle w:val="963"/>
        <w:jc w:val="center"/>
        <w:shd w:val="clear" w:color="ffffff" w:themeColor="background1" w:fill="ffffff" w:themeFill="background1"/>
        <w:tabs>
          <w:tab w:val="left" w:pos="709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sz w:val="28"/>
          <w:szCs w:val="28"/>
          <w:highlight w:val="white"/>
        </w:rPr>
        <w:t xml:space="preserve">3. Строительный комплекс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941"/>
        <w:shd w:val="clear" w:color="ffffff" w:themeColor="background1" w:fill="ffffff" w:themeFill="background1"/>
        <w:tabs>
          <w:tab w:val="left" w:pos="709" w:leader="none"/>
          <w:tab w:val="left" w:pos="851" w:leader="none"/>
        </w:tabs>
        <w:rPr>
          <w:rFonts w:ascii="FreeSerif" w:hAnsi="FreeSerif" w:cs="FreeSerif"/>
          <w:b w:val="0"/>
          <w:color w:val="00000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color w:val="000000"/>
          <w:sz w:val="28"/>
          <w:szCs w:val="28"/>
          <w:highlight w:val="white"/>
        </w:rPr>
        <w:tab/>
      </w:r>
      <w:r>
        <w:rPr>
          <w:rFonts w:ascii="FreeSerif" w:hAnsi="FreeSerif" w:eastAsia="FreeSerif" w:cs="FreeSerif"/>
          <w:b w:val="0"/>
          <w:color w:val="000000"/>
          <w:sz w:val="28"/>
          <w:szCs w:val="28"/>
          <w:highlight w:val="white"/>
        </w:rPr>
        <w:t xml:space="preserve">Объем работ, выполненных собственными силами по виду деятельности «строительство» крупными и средними организациями (по фактическим видам деятельности) за январь-сентябрь 2024 года составил 112,8 м</w:t>
      </w:r>
      <w:r>
        <w:rPr>
          <w:rFonts w:ascii="FreeSerif" w:hAnsi="FreeSerif" w:eastAsia="FreeSerif" w:cs="FreeSerif"/>
          <w:b w:val="0"/>
          <w:color w:val="000000"/>
          <w:sz w:val="28"/>
          <w:szCs w:val="28"/>
          <w:highlight w:val="white"/>
        </w:rPr>
        <w:t xml:space="preserve">лн. рублей это в 2,1 раза выше </w:t>
      </w:r>
      <w:r>
        <w:rPr>
          <w:rFonts w:ascii="FreeSerif" w:hAnsi="FreeSerif" w:eastAsia="FreeSerif" w:cs="FreeSerif"/>
          <w:b w:val="0"/>
          <w:color w:val="000000"/>
          <w:sz w:val="28"/>
          <w:szCs w:val="28"/>
          <w:highlight w:val="white"/>
        </w:rPr>
        <w:t xml:space="preserve">2023 года. Рост объема выполненных работ по виду деятельности «строительство» обеспечен деятельностью АО «Ростовгазстрой» по строительству подводящего газоп</w:t>
      </w:r>
      <w:r>
        <w:rPr>
          <w:rFonts w:ascii="FreeSerif" w:hAnsi="FreeSerif" w:eastAsia="FreeSerif" w:cs="FreeSerif"/>
          <w:b w:val="0"/>
          <w:color w:val="000000"/>
          <w:sz w:val="28"/>
          <w:szCs w:val="28"/>
          <w:highlight w:val="white"/>
        </w:rPr>
        <w:t xml:space="preserve">ровода высокого давления к х. А</w:t>
      </w:r>
      <w:r>
        <w:rPr>
          <w:rFonts w:ascii="FreeSerif" w:hAnsi="FreeSerif" w:eastAsia="FreeSerif" w:cs="FreeSerif"/>
          <w:b w:val="0"/>
          <w:color w:val="000000"/>
          <w:sz w:val="28"/>
          <w:szCs w:val="28"/>
          <w:highlight w:val="white"/>
        </w:rPr>
        <w:t xml:space="preserve">ндрющенко и х. Краснострелецкий. </w:t>
      </w:r>
      <w:r>
        <w:rPr>
          <w:rFonts w:ascii="FreeSerif" w:hAnsi="FreeSerif" w:eastAsia="FreeSerif" w:cs="FreeSerif"/>
          <w:b w:val="0"/>
          <w:color w:val="000000"/>
          <w:sz w:val="28"/>
          <w:szCs w:val="28"/>
          <w:highlight w:val="white"/>
        </w:rPr>
      </w:r>
      <w:r>
        <w:rPr>
          <w:rFonts w:ascii="FreeSerif" w:hAnsi="FreeSerif" w:cs="FreeSerif"/>
          <w:b w:val="0"/>
          <w:color w:val="000000"/>
          <w:sz w:val="28"/>
          <w:szCs w:val="28"/>
          <w:highlight w:val="white"/>
        </w:rPr>
      </w:r>
    </w:p>
    <w:p>
      <w:pPr>
        <w:pStyle w:val="941"/>
        <w:shd w:val="clear" w:color="ffffff" w:themeColor="background1" w:fill="ffffff" w:themeFill="background1"/>
        <w:tabs>
          <w:tab w:val="left" w:pos="709" w:leader="none"/>
          <w:tab w:val="left" w:pos="851" w:leader="none"/>
        </w:tabs>
        <w:rPr>
          <w:rFonts w:ascii="FreeSerif" w:hAnsi="FreeSerif" w:cs="FreeSerif"/>
          <w:b w:val="0"/>
          <w:color w:val="00000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color w:val="000000"/>
          <w:sz w:val="28"/>
          <w:szCs w:val="28"/>
          <w:highlight w:val="white"/>
        </w:rPr>
        <w:tab/>
        <w:t xml:space="preserve">В январе – сентябре 2024 г.</w:t>
      </w:r>
      <w:r>
        <w:rPr>
          <w:rFonts w:ascii="FreeSerif" w:hAnsi="FreeSerif" w:eastAsia="FreeSerif" w:cs="FreeSerif"/>
          <w:b w:val="0"/>
          <w:color w:val="000000"/>
          <w:sz w:val="28"/>
          <w:szCs w:val="28"/>
          <w:highlight w:val="white"/>
        </w:rPr>
        <w:t xml:space="preserve"> введено в эксплуатацию 17,955 кв. м. жилья или 11</w:t>
      </w:r>
      <w:r>
        <w:rPr>
          <w:rFonts w:ascii="FreeSerif" w:hAnsi="FreeSerif" w:eastAsia="FreeSerif" w:cs="FreeSerif"/>
          <w:b w:val="0"/>
          <w:color w:val="000000"/>
          <w:sz w:val="28"/>
          <w:szCs w:val="28"/>
          <w:highlight w:val="white"/>
        </w:rPr>
        <w:t xml:space="preserve">8,9% к январю-сентябрю 2023 г. </w:t>
      </w:r>
      <w:r>
        <w:rPr>
          <w:rFonts w:ascii="FreeSerif" w:hAnsi="FreeSerif" w:eastAsia="FreeSerif" w:cs="FreeSerif"/>
          <w:b w:val="0"/>
          <w:color w:val="000000"/>
          <w:sz w:val="28"/>
          <w:szCs w:val="28"/>
          <w:highlight w:val="white"/>
        </w:rPr>
        <w:t xml:space="preserve">Рост уровня ввода в эксплуатацию жилья обусловлено достаточным количеством строительных площадок для ИЖС, обеспеченных инженерно-технической инфраструктурой.</w:t>
      </w:r>
      <w:r>
        <w:rPr>
          <w:rFonts w:ascii="FreeSerif" w:hAnsi="FreeSerif" w:eastAsia="FreeSerif" w:cs="FreeSerif"/>
          <w:b w:val="0"/>
          <w:color w:val="000000"/>
          <w:sz w:val="28"/>
          <w:szCs w:val="28"/>
          <w:highlight w:val="white"/>
        </w:rPr>
      </w:r>
      <w:r>
        <w:rPr>
          <w:rFonts w:ascii="FreeSerif" w:hAnsi="FreeSerif" w:cs="FreeSerif"/>
          <w:b w:val="0"/>
          <w:color w:val="000000"/>
          <w:sz w:val="28"/>
          <w:szCs w:val="28"/>
          <w:highlight w:val="white"/>
        </w:rPr>
      </w:r>
    </w:p>
    <w:p>
      <w:pPr>
        <w:jc w:val="center"/>
        <w:shd w:val="clear" w:color="ffffff" w:themeColor="background1" w:fill="ffffff" w:themeFill="background1"/>
        <w:tabs>
          <w:tab w:val="left" w:pos="709" w:leader="none"/>
        </w:tabs>
        <w:rPr>
          <w:rFonts w:ascii="FreeSerif" w:hAnsi="FreeSerif" w:cs="FreeSerif"/>
          <w:b/>
          <w:bCs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whit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white"/>
        </w:rPr>
      </w:r>
      <w:r>
        <w:rPr>
          <w:rFonts w:ascii="FreeSerif" w:hAnsi="FreeSerif" w:cs="FreeSerif"/>
          <w:b/>
          <w:bCs/>
          <w:sz w:val="28"/>
          <w:szCs w:val="28"/>
          <w:highlight w:val="white"/>
        </w:rPr>
      </w:r>
    </w:p>
    <w:p>
      <w:pPr>
        <w:jc w:val="center"/>
        <w:shd w:val="clear" w:color="ffffff" w:themeColor="background1" w:fill="ffffff" w:themeFill="background1"/>
        <w:tabs>
          <w:tab w:val="left" w:pos="709" w:leader="none"/>
        </w:tabs>
        <w:rPr>
          <w:rFonts w:ascii="FreeSerif" w:hAnsi="FreeSerif" w:cs="FreeSerif"/>
          <w:b/>
          <w:bCs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sz w:val="28"/>
          <w:szCs w:val="28"/>
          <w:highlight w:val="white"/>
        </w:rPr>
        <w:t xml:space="preserve">4. Транспортировка и хранение</w:t>
      </w:r>
      <w:r>
        <w:rPr>
          <w:rFonts w:ascii="FreeSerif" w:hAnsi="FreeSerif" w:eastAsia="FreeSerif" w:cs="FreeSerif"/>
          <w:b/>
          <w:bCs/>
          <w:sz w:val="28"/>
          <w:szCs w:val="28"/>
          <w:highlight w:val="white"/>
        </w:rPr>
      </w:r>
      <w:r>
        <w:rPr>
          <w:rFonts w:ascii="FreeSerif" w:hAnsi="FreeSerif" w:cs="FreeSerif"/>
          <w:b/>
          <w:bCs/>
          <w:sz w:val="28"/>
          <w:szCs w:val="28"/>
          <w:highlight w:val="white"/>
        </w:rPr>
      </w:r>
    </w:p>
    <w:p>
      <w:pPr>
        <w:pStyle w:val="978"/>
        <w:jc w:val="center"/>
        <w:shd w:val="clear" w:color="ffffff" w:themeColor="background1" w:fill="ffffff" w:themeFill="background1"/>
        <w:tabs>
          <w:tab w:val="left" w:pos="709" w:leader="none"/>
          <w:tab w:val="left" w:pos="851" w:leader="none"/>
        </w:tabs>
        <w:rPr>
          <w:rFonts w:ascii="FreeSerif" w:hAnsi="FreeSerif" w:cs="FreeSerif"/>
          <w:b/>
          <w:szCs w:val="28"/>
          <w:highlight w:val="white"/>
        </w:rPr>
      </w:pPr>
      <w:r>
        <w:rPr>
          <w:rFonts w:ascii="FreeSerif" w:hAnsi="FreeSerif" w:eastAsia="FreeSerif" w:cs="FreeSerif"/>
          <w:b/>
          <w:szCs w:val="28"/>
          <w:highlight w:val="white"/>
        </w:rPr>
      </w:r>
      <w:r>
        <w:rPr>
          <w:rFonts w:ascii="FreeSerif" w:hAnsi="FreeSerif" w:eastAsia="FreeSerif" w:cs="FreeSerif"/>
          <w:b/>
          <w:szCs w:val="28"/>
          <w:highlight w:val="white"/>
        </w:rPr>
      </w:r>
      <w:r>
        <w:rPr>
          <w:rFonts w:ascii="FreeSerif" w:hAnsi="FreeSerif" w:cs="FreeSerif"/>
          <w:b/>
          <w:szCs w:val="28"/>
          <w:highlight w:val="white"/>
        </w:rPr>
      </w:r>
    </w:p>
    <w:p>
      <w:pPr>
        <w:pStyle w:val="982"/>
        <w:ind w:firstLine="720"/>
        <w:shd w:val="clear" w:color="ffffff" w:themeColor="background1" w:fill="ffffff" w:themeFill="background1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Объем услуг транспорта по крупным и средним предприятиям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за январь - август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2024 года составил 67,1 млн. рублей, или 33,4% ниже уровня прошлого года. 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978"/>
        <w:ind w:firstLine="720"/>
        <w:jc w:val="both"/>
        <w:shd w:val="clear" w:color="ffffff" w:themeColor="background1" w:fill="ffffff" w:themeFill="background1"/>
        <w:tabs>
          <w:tab w:val="left" w:pos="709" w:leader="none"/>
          <w:tab w:val="left" w:pos="851" w:leader="none"/>
        </w:tabs>
        <w:rPr>
          <w:rStyle w:val="977"/>
          <w:rFonts w:ascii="FreeSerif" w:hAnsi="FreeSerif" w:cs="FreeSerif"/>
          <w:szCs w:val="28"/>
          <w:highlight w:val="white"/>
        </w:rPr>
      </w:pPr>
      <w:r>
        <w:rPr>
          <w:rStyle w:val="977"/>
          <w:rFonts w:ascii="FreeSerif" w:hAnsi="FreeSerif" w:eastAsia="FreeSerif" w:cs="FreeSerif"/>
          <w:szCs w:val="28"/>
          <w:highlight w:val="white"/>
        </w:rPr>
        <w:t xml:space="preserve"> Снижение показателя </w:t>
      </w:r>
      <w:r>
        <w:rPr>
          <w:rStyle w:val="977"/>
          <w:rFonts w:ascii="FreeSerif" w:hAnsi="FreeSerif" w:eastAsia="FreeSerif" w:cs="FreeSerif"/>
          <w:szCs w:val="28"/>
          <w:highlight w:val="white"/>
        </w:rPr>
        <w:t xml:space="preserve">связано со «вспомогательной деятельностью (52.21.22) предприятия НАО «Ленинградское ДРСУ», основной вид деятельности которого «Деятельность по эксплуатации автомобильных дорог и автомагистралей» в связи с сокращением заключенных договоров по ремонту дорог.</w:t>
      </w:r>
      <w:r>
        <w:rPr>
          <w:rStyle w:val="977"/>
          <w:rFonts w:ascii="FreeSerif" w:hAnsi="FreeSerif" w:eastAsia="FreeSerif" w:cs="FreeSerif"/>
          <w:szCs w:val="28"/>
          <w:highlight w:val="white"/>
        </w:rPr>
      </w:r>
      <w:r>
        <w:rPr>
          <w:rStyle w:val="977"/>
          <w:rFonts w:ascii="FreeSerif" w:hAnsi="FreeSerif" w:cs="FreeSerif"/>
          <w:szCs w:val="28"/>
          <w:highlight w:val="white"/>
        </w:rPr>
      </w:r>
    </w:p>
    <w:p>
      <w:pPr>
        <w:shd w:val="clear" w:color="ffffff" w:themeColor="background1" w:fill="ffffff" w:themeFill="background1"/>
        <w:tabs>
          <w:tab w:val="left" w:pos="709" w:leader="none"/>
          <w:tab w:val="left" w:pos="851" w:leader="none"/>
        </w:tabs>
        <w:rPr>
          <w:rFonts w:ascii="FreeSerif" w:hAnsi="FreeSerif" w:cs="FreeSerif"/>
          <w:b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sz w:val="28"/>
          <w:szCs w:val="28"/>
          <w:highlight w:val="white"/>
        </w:rPr>
      </w:r>
      <w:r>
        <w:rPr>
          <w:rFonts w:ascii="FreeSerif" w:hAnsi="FreeSerif" w:eastAsia="FreeSerif" w:cs="FreeSerif"/>
          <w:b/>
          <w:sz w:val="28"/>
          <w:szCs w:val="28"/>
          <w:highlight w:val="white"/>
        </w:rPr>
      </w:r>
      <w:r>
        <w:rPr>
          <w:rFonts w:ascii="FreeSerif" w:hAnsi="FreeSerif" w:cs="FreeSerif"/>
          <w:b/>
          <w:sz w:val="28"/>
          <w:szCs w:val="28"/>
          <w:highlight w:val="white"/>
        </w:rPr>
      </w:r>
    </w:p>
    <w:p>
      <w:pPr>
        <w:jc w:val="center"/>
        <w:shd w:val="clear" w:color="ffffff" w:themeColor="background1" w:fill="ffffff" w:themeFill="background1"/>
        <w:tabs>
          <w:tab w:val="left" w:pos="709" w:leader="none"/>
          <w:tab w:val="left" w:pos="851" w:leader="none"/>
        </w:tabs>
        <w:rPr>
          <w:rFonts w:ascii="FreeSerif" w:hAnsi="FreeSerif" w:cs="FreeSerif"/>
          <w:b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sz w:val="28"/>
          <w:szCs w:val="28"/>
          <w:highlight w:val="white"/>
        </w:rPr>
        <w:t xml:space="preserve">5. Потребительский рынок</w:t>
      </w:r>
      <w:r>
        <w:rPr>
          <w:rFonts w:ascii="FreeSerif" w:hAnsi="FreeSerif" w:eastAsia="FreeSerif" w:cs="FreeSerif"/>
          <w:b/>
          <w:sz w:val="28"/>
          <w:szCs w:val="28"/>
          <w:highlight w:val="white"/>
        </w:rPr>
      </w:r>
      <w:r>
        <w:rPr>
          <w:rFonts w:ascii="FreeSerif" w:hAnsi="FreeSerif" w:cs="FreeSerif"/>
          <w:b/>
          <w:sz w:val="28"/>
          <w:szCs w:val="28"/>
          <w:highlight w:val="white"/>
        </w:rPr>
      </w:r>
    </w:p>
    <w:p>
      <w:pPr>
        <w:jc w:val="center"/>
        <w:shd w:val="clear" w:color="ffffff" w:themeColor="background1" w:fill="ffffff" w:themeFill="background1"/>
        <w:tabs>
          <w:tab w:val="left" w:pos="709" w:leader="none"/>
          <w:tab w:val="left" w:pos="851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Оборот розничной торговли по крупным и средним предприя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тиям в январе-августе 2024 года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составил 5 259,4 млн. рублей, или 109,0% к январю-сентябрю 2023 г.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Рост оборота розничной торговли происходит в основном за счет расширения присутствия федеральных торговых сетей, </w:t>
      </w:r>
      <w:r>
        <w:rPr>
          <w:rFonts w:ascii="FreeSerif" w:hAnsi="FreeSerif" w:eastAsia="FreeSerif" w:cs="FreeSerif"/>
          <w:iCs/>
          <w:color w:val="000000"/>
          <w:sz w:val="28"/>
          <w:szCs w:val="28"/>
          <w:highlight w:val="white"/>
          <w:lang w:eastAsia="en-US"/>
        </w:rPr>
        <w:t xml:space="preserve">а именно за счет открытия новых магазинов АО «Тандер»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  <w:shd w:val="clear" w:color="auto" w:fill="ffffff"/>
          <w:lang w:eastAsia="en-US"/>
        </w:rPr>
        <w:t xml:space="preserve"> (</w:t>
      </w:r>
      <w:r>
        <w:rPr>
          <w:rFonts w:ascii="FreeSerif" w:hAnsi="FreeSerif" w:eastAsia="FreeSerif" w:cs="FreeSerif"/>
          <w:iCs/>
          <w:color w:val="000000"/>
          <w:sz w:val="28"/>
          <w:szCs w:val="28"/>
          <w:highlight w:val="white"/>
          <w:lang w:eastAsia="en-US"/>
        </w:rPr>
        <w:t xml:space="preserve">магазины «Магнит у Дома»); ОП ООО </w:t>
      </w:r>
      <w:r>
        <w:rPr>
          <w:rFonts w:ascii="FreeSerif" w:hAnsi="FreeSerif" w:eastAsia="FreeSerif" w:cs="FreeSerif"/>
          <w:iCs/>
          <w:color w:val="000000"/>
          <w:sz w:val="28"/>
          <w:szCs w:val="28"/>
          <w:highlight w:val="white"/>
          <w:lang w:eastAsia="en-US"/>
        </w:rPr>
        <w:t xml:space="preserve">«Альфа-М» (магазины «Красное и Белое»);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  <w:shd w:val="clear" w:color="auto" w:fill="ffffff"/>
          <w:lang w:eastAsia="en-US"/>
        </w:rPr>
        <w:t xml:space="preserve"> ООО «Агроторг» (магазины «Пятерочка»)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.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rFonts w:ascii="FreeSerif" w:hAnsi="FreeSerif" w:cs="FreeSerif"/>
          <w:color w:val="000000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Локальные предприятия розничной торговли не имеют возможности конкурировать с федеральными торговыми сетями в ценовом диапазоне, что приводит к сокращению их численности.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</w:r>
      <w:r>
        <w:rPr>
          <w:rFonts w:ascii="FreeSerif" w:hAnsi="FreeSerif" w:cs="FreeSerif"/>
          <w:color w:val="000000"/>
          <w:sz w:val="28"/>
          <w:szCs w:val="28"/>
          <w:highlight w:val="white"/>
        </w:rPr>
      </w:r>
    </w:p>
    <w:p>
      <w:pPr>
        <w:jc w:val="center"/>
        <w:shd w:val="clear" w:color="ffffff" w:themeColor="background1" w:fill="ffffff" w:themeFill="background1"/>
        <w:tabs>
          <w:tab w:val="left" w:pos="284" w:leader="none"/>
          <w:tab w:val="left" w:pos="709" w:leader="none"/>
        </w:tabs>
        <w:rPr>
          <w:rFonts w:ascii="FreeSerif" w:hAnsi="FreeSerif" w:cs="FreeSerif"/>
          <w:b/>
          <w:color w:val="00000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color w:val="000000"/>
          <w:sz w:val="28"/>
          <w:szCs w:val="28"/>
          <w:highlight w:val="white"/>
        </w:rPr>
      </w:r>
      <w:r>
        <w:rPr>
          <w:rFonts w:ascii="FreeSerif" w:hAnsi="FreeSerif" w:eastAsia="FreeSerif" w:cs="FreeSerif"/>
          <w:b/>
          <w:color w:val="000000"/>
          <w:sz w:val="28"/>
          <w:szCs w:val="28"/>
          <w:highlight w:val="white"/>
        </w:rPr>
      </w:r>
      <w:r>
        <w:rPr>
          <w:rFonts w:ascii="FreeSerif" w:hAnsi="FreeSerif" w:cs="FreeSerif"/>
          <w:b/>
          <w:color w:val="000000"/>
          <w:sz w:val="28"/>
          <w:szCs w:val="28"/>
          <w:highlight w:val="white"/>
        </w:rPr>
      </w:r>
    </w:p>
    <w:p>
      <w:pPr>
        <w:jc w:val="center"/>
        <w:shd w:val="clear" w:color="ffffff" w:themeColor="background1" w:fill="ffffff" w:themeFill="background1"/>
        <w:tabs>
          <w:tab w:val="left" w:pos="284" w:leader="none"/>
          <w:tab w:val="left" w:pos="709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color w:val="000000"/>
          <w:sz w:val="28"/>
          <w:szCs w:val="28"/>
          <w:highlight w:val="white"/>
        </w:rPr>
        <w:t xml:space="preserve">6. Развитие курортно-туристского комплекса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jc w:val="both"/>
        <w:shd w:val="clear" w:color="ffffff" w:themeColor="background1" w:fill="ffffff" w:themeFill="background1"/>
        <w:tabs>
          <w:tab w:val="left" w:pos="709" w:leader="none"/>
        </w:tabs>
        <w:rPr>
          <w:rFonts w:ascii="FreeSerif" w:hAnsi="FreeSerif" w:cs="FreeSerif"/>
          <w:b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sz w:val="28"/>
          <w:szCs w:val="28"/>
          <w:highlight w:val="white"/>
        </w:rPr>
      </w:r>
      <w:r>
        <w:rPr>
          <w:rFonts w:ascii="FreeSerif" w:hAnsi="FreeSerif" w:eastAsia="FreeSerif" w:cs="FreeSerif"/>
          <w:b/>
          <w:sz w:val="28"/>
          <w:szCs w:val="28"/>
          <w:highlight w:val="white"/>
        </w:rPr>
      </w:r>
      <w:r>
        <w:rPr>
          <w:rFonts w:ascii="FreeSerif" w:hAnsi="FreeSerif" w:cs="FreeSerif"/>
          <w:b/>
          <w:sz w:val="28"/>
          <w:szCs w:val="28"/>
          <w:highlight w:val="white"/>
        </w:rPr>
      </w:r>
    </w:p>
    <w:p>
      <w:pPr>
        <w:pStyle w:val="941"/>
        <w:shd w:val="clear" w:color="ffffff" w:themeColor="background1" w:fill="ffffff" w:themeFill="background1"/>
        <w:tabs>
          <w:tab w:val="left" w:pos="709" w:leader="none"/>
          <w:tab w:val="left" w:pos="851" w:leader="none"/>
        </w:tabs>
        <w:rPr>
          <w:rFonts w:ascii="FreeSerif" w:hAnsi="FreeSerif" w:cs="FreeSerif"/>
          <w:b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ab/>
      </w:r>
      <w:r>
        <w:rPr>
          <w:rFonts w:ascii="FreeSerif" w:hAnsi="FreeSerif" w:eastAsia="FreeSerif" w:cs="FreeSerif"/>
          <w:b w:val="0"/>
          <w:sz w:val="28"/>
          <w:szCs w:val="28"/>
          <w:highlight w:val="white"/>
        </w:rPr>
        <w:t xml:space="preserve">Сфера курортно-туристического комплекса в муниципальном образовании представлена гостиничным хозяйством, базами отдыха и туристическими агентствам</w:t>
      </w:r>
      <w:r>
        <w:rPr>
          <w:rFonts w:ascii="FreeSerif" w:hAnsi="FreeSerif" w:eastAsia="FreeSerif" w:cs="FreeSerif"/>
          <w:b w:val="0"/>
          <w:sz w:val="28"/>
          <w:szCs w:val="28"/>
          <w:highlight w:val="white"/>
        </w:rPr>
        <w:t xml:space="preserve">и. В районе осуществляют деятельность 12 средств размещения (гостиница «Елизавета», отель «По пути», гостевой дом «Ленинградка», отель «Атмосфера», отель «По дороге на Крым», Мини-гостиница «Старая мельница», Гостиница ИП Фомушкиной И. Н., отель «Усадьба»,</w:t>
      </w:r>
      <w:r>
        <w:rPr>
          <w:rFonts w:ascii="FreeSerif" w:hAnsi="FreeSerif" w:eastAsia="FreeSerif" w:cs="FreeSerif"/>
          <w:b w:val="0"/>
          <w:bCs/>
          <w:sz w:val="28"/>
          <w:szCs w:val="28"/>
          <w:highlight w:val="white"/>
        </w:rPr>
        <w:t xml:space="preserve"> гостиница «Ленинградская») </w:t>
      </w:r>
      <w:r>
        <w:rPr>
          <w:rFonts w:ascii="FreeSerif" w:hAnsi="FreeSerif" w:eastAsia="FreeSerif" w:cs="FreeSerif"/>
          <w:b w:val="0"/>
          <w:sz w:val="28"/>
          <w:szCs w:val="28"/>
          <w:highlight w:val="white"/>
        </w:rPr>
        <w:t xml:space="preserve">и одно туристическое агентство «Розовый слон». Доля организаций частной формы собственности на рынке санаторно-курортных и туристских услуг составляет 100%. </w:t>
      </w:r>
      <w:r>
        <w:rPr>
          <w:rFonts w:ascii="FreeSerif" w:hAnsi="FreeSerif" w:eastAsia="FreeSerif" w:cs="FreeSerif"/>
          <w:b w:val="0"/>
          <w:sz w:val="28"/>
          <w:szCs w:val="28"/>
          <w:highlight w:val="white"/>
        </w:rPr>
      </w:r>
      <w:r>
        <w:rPr>
          <w:rFonts w:ascii="FreeSerif" w:hAnsi="FreeSerif" w:cs="FreeSerif"/>
          <w:b w:val="0"/>
          <w:sz w:val="28"/>
          <w:szCs w:val="28"/>
          <w:highlight w:val="white"/>
        </w:rPr>
      </w:r>
    </w:p>
    <w:p>
      <w:pPr>
        <w:pStyle w:val="941"/>
        <w:shd w:val="clear" w:color="ffffff" w:themeColor="background1" w:fill="ffffff" w:themeFill="background1"/>
        <w:tabs>
          <w:tab w:val="left" w:pos="709" w:leader="none"/>
          <w:tab w:val="left" w:pos="851" w:leader="none"/>
        </w:tabs>
        <w:rPr>
          <w:rFonts w:ascii="FreeSerif" w:hAnsi="FreeSerif" w:cs="FreeSerif"/>
          <w:b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sz w:val="28"/>
          <w:szCs w:val="28"/>
          <w:highlight w:val="white"/>
        </w:rPr>
        <w:tab/>
      </w:r>
      <w:r>
        <w:rPr>
          <w:rFonts w:ascii="FreeSerif" w:hAnsi="FreeSerif" w:eastAsia="FreeSerif" w:cs="FreeSerif"/>
          <w:b w:val="0"/>
          <w:sz w:val="28"/>
          <w:szCs w:val="28"/>
          <w:highlight w:val="white"/>
        </w:rPr>
        <w:t xml:space="preserve">Спрос на услуги коллективных ср</w:t>
      </w:r>
      <w:r>
        <w:rPr>
          <w:rFonts w:ascii="FreeSerif" w:hAnsi="FreeSerif" w:eastAsia="FreeSerif" w:cs="FreeSerif"/>
          <w:b w:val="0"/>
          <w:sz w:val="28"/>
          <w:szCs w:val="28"/>
          <w:highlight w:val="white"/>
        </w:rPr>
        <w:t xml:space="preserve">едств размещения возрастает в связи с увеличением транспортного потока через Ленинградский район в Крымском и Ейском направлениях, а также прибытием граждан, находящихся в Ленинградском районе в связи с командировкой. Номерной фонд по состоянию на январь –</w:t>
      </w:r>
      <w:r>
        <w:rPr>
          <w:rFonts w:ascii="FreeSerif" w:hAnsi="FreeSerif" w:eastAsia="FreeSerif" w:cs="FreeSerif"/>
          <w:b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sz w:val="28"/>
          <w:szCs w:val="28"/>
          <w:highlight w:val="white"/>
        </w:rPr>
        <w:t xml:space="preserve">сентябрь 2024 года составляет 134 номеров, койка-мест 326. </w:t>
      </w:r>
      <w:r>
        <w:rPr>
          <w:rFonts w:ascii="FreeSerif" w:hAnsi="FreeSerif" w:eastAsia="FreeSerif" w:cs="FreeSerif"/>
          <w:b w:val="0"/>
          <w:sz w:val="28"/>
          <w:szCs w:val="28"/>
          <w:highlight w:val="white"/>
        </w:rPr>
      </w:r>
      <w:r>
        <w:rPr>
          <w:rFonts w:ascii="FreeSerif" w:hAnsi="FreeSerif" w:cs="FreeSerif"/>
          <w:b w:val="0"/>
          <w:sz w:val="28"/>
          <w:szCs w:val="28"/>
          <w:highlight w:val="white"/>
        </w:rPr>
      </w:r>
    </w:p>
    <w:p>
      <w:pPr>
        <w:jc w:val="center"/>
        <w:shd w:val="clear" w:color="ffffff" w:themeColor="background1" w:fill="ffffff" w:themeFill="background1"/>
        <w:tabs>
          <w:tab w:val="left" w:pos="709" w:leader="none"/>
          <w:tab w:val="left" w:pos="851" w:leader="none"/>
        </w:tabs>
        <w:rPr>
          <w:rFonts w:ascii="FreeSerif" w:hAnsi="FreeSerif" w:cs="FreeSerif"/>
          <w:b/>
          <w:bCs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whit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white"/>
        </w:rPr>
      </w:r>
      <w:r>
        <w:rPr>
          <w:rFonts w:ascii="FreeSerif" w:hAnsi="FreeSerif" w:cs="FreeSerif"/>
          <w:b/>
          <w:bCs/>
          <w:sz w:val="28"/>
          <w:szCs w:val="28"/>
          <w:highlight w:val="white"/>
        </w:rPr>
      </w:r>
    </w:p>
    <w:p>
      <w:pPr>
        <w:shd w:val="clear" w:color="ffffff" w:themeColor="background1" w:fill="ffffff" w:themeFill="background1"/>
        <w:tabs>
          <w:tab w:val="left" w:pos="709" w:leader="none"/>
          <w:tab w:val="left" w:pos="851" w:leader="none"/>
        </w:tabs>
        <w:rPr>
          <w:rFonts w:ascii="FreeSerif" w:hAnsi="FreeSerif" w:cs="FreeSerif"/>
          <w:b/>
          <w:bCs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whit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white"/>
        </w:rPr>
      </w:r>
      <w:r>
        <w:rPr>
          <w:rFonts w:ascii="FreeSerif" w:hAnsi="FreeSerif" w:cs="FreeSerif"/>
          <w:b/>
          <w:bCs/>
          <w:sz w:val="28"/>
          <w:szCs w:val="28"/>
          <w:highlight w:val="white"/>
        </w:rPr>
      </w:r>
    </w:p>
    <w:p>
      <w:pPr>
        <w:jc w:val="center"/>
        <w:shd w:val="clear" w:color="ffffff" w:themeColor="background1" w:fill="ffffff" w:themeFill="background1"/>
        <w:tabs>
          <w:tab w:val="left" w:pos="709" w:leader="none"/>
          <w:tab w:val="left" w:pos="851" w:leader="none"/>
        </w:tabs>
        <w:rPr>
          <w:rFonts w:ascii="FreeSerif" w:hAnsi="FreeSerif" w:cs="FreeSerif"/>
          <w:b/>
          <w:bCs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sz w:val="28"/>
          <w:szCs w:val="28"/>
          <w:highlight w:val="white"/>
        </w:rPr>
        <w:t xml:space="preserve">7. Инвестиционная деятельность</w:t>
      </w:r>
      <w:r>
        <w:rPr>
          <w:rFonts w:ascii="FreeSerif" w:hAnsi="FreeSerif" w:eastAsia="FreeSerif" w:cs="FreeSerif"/>
          <w:b/>
          <w:bCs/>
          <w:sz w:val="28"/>
          <w:szCs w:val="28"/>
          <w:highlight w:val="white"/>
        </w:rPr>
      </w:r>
      <w:r>
        <w:rPr>
          <w:rFonts w:ascii="FreeSerif" w:hAnsi="FreeSerif" w:cs="FreeSerif"/>
          <w:b/>
          <w:bCs/>
          <w:sz w:val="28"/>
          <w:szCs w:val="28"/>
          <w:highlight w:val="white"/>
        </w:rPr>
      </w:r>
    </w:p>
    <w:p>
      <w:pPr>
        <w:jc w:val="both"/>
        <w:shd w:val="clear" w:color="ffffff" w:themeColor="background1" w:fill="ffffff" w:themeFill="background1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708"/>
        <w:jc w:val="both"/>
        <w:shd w:val="clear" w:color="ffffff" w:themeColor="background1" w:fill="ffffff" w:themeFill="background1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По данным Управления Федеральной службы государственной статистики по Краснодарскому краю и Республике Адыгея объем инвестиций в основной капитал за 2 квартал 2024 года составляет 1399,1 млн. рублей, что в 2,2 раза выше уровня 2023 года.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708"/>
        <w:jc w:val="both"/>
        <w:shd w:val="clear" w:color="ffffff" w:themeColor="background1" w:fill="ffffff" w:themeFill="background1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Рост объема инвестиций обеспечен предприятиями агропромышленного комплекса за счет приобретения техники, прицепного оборудования, технологического оборудования, информационного оборудования и др.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shd w:val="clear" w:color="ffffff" w:themeColor="background1" w:fill="ffffff" w:themeFill="background1"/>
        <w:tabs>
          <w:tab w:val="left" w:pos="709" w:leader="none"/>
          <w:tab w:val="left" w:pos="851" w:leader="none"/>
        </w:tabs>
        <w:rPr>
          <w:rFonts w:ascii="FreeSerif" w:hAnsi="FreeSerif" w:cs="FreeSerif"/>
          <w:b/>
          <w:bCs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whit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white"/>
        </w:rPr>
      </w:r>
      <w:r>
        <w:rPr>
          <w:rFonts w:ascii="FreeSerif" w:hAnsi="FreeSerif" w:cs="FreeSerif"/>
          <w:b/>
          <w:bCs/>
          <w:sz w:val="28"/>
          <w:szCs w:val="28"/>
          <w:highlight w:val="white"/>
        </w:rPr>
      </w:r>
    </w:p>
    <w:p>
      <w:pPr>
        <w:jc w:val="center"/>
        <w:shd w:val="clear" w:color="ffffff" w:themeColor="background1" w:fill="ffffff" w:themeFill="background1"/>
        <w:tabs>
          <w:tab w:val="left" w:pos="709" w:leader="none"/>
          <w:tab w:val="left" w:pos="851" w:leader="none"/>
        </w:tabs>
        <w:rPr>
          <w:rFonts w:ascii="FreeSerif" w:hAnsi="FreeSerif" w:cs="FreeSerif"/>
          <w:b/>
          <w:bCs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white"/>
        </w:rPr>
        <w:t xml:space="preserve">8. Финансовые результаты деятельности</w:t>
      </w:r>
      <w:r>
        <w:rPr>
          <w:rFonts w:ascii="FreeSerif" w:hAnsi="FreeSerif" w:eastAsia="FreeSerif" w:cs="FreeSerif"/>
          <w:b/>
          <w:bCs/>
          <w:sz w:val="28"/>
          <w:szCs w:val="28"/>
          <w:highlight w:val="white"/>
        </w:rPr>
      </w:r>
      <w:r>
        <w:rPr>
          <w:rFonts w:ascii="FreeSerif" w:hAnsi="FreeSerif" w:cs="FreeSerif"/>
          <w:b/>
          <w:bCs/>
          <w:sz w:val="28"/>
          <w:szCs w:val="28"/>
          <w:highlight w:val="white"/>
        </w:rPr>
      </w:r>
    </w:p>
    <w:p>
      <w:pPr>
        <w:jc w:val="center"/>
        <w:shd w:val="clear" w:color="ffffff" w:themeColor="background1" w:fill="ffffff" w:themeFill="background1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jc w:val="both"/>
        <w:shd w:val="clear" w:color="ffffff" w:themeColor="background1" w:fill="ffffff" w:themeFill="background1"/>
        <w:tabs>
          <w:tab w:val="left" w:pos="709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ab/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На 1 сентября 2024 года, сальдированный финансовый результат (прибыль минус убыток) составил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1 399,8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млн. рублей или 67,1% к аналогичному периоду 2023 года.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jc w:val="both"/>
        <w:shd w:val="clear" w:color="ffffff" w:themeColor="background1" w:fill="ffffff" w:themeFill="background1"/>
        <w:tabs>
          <w:tab w:val="left" w:pos="709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ab/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На 1 сентября 2024 года убытки убыточных предприятий составили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341,4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млн. рублей, или 105,8% к 1 сентяб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ря 2023 года.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В 2024 году ожидается убыток в ООО «Вторая пятилетка» за счет снижения урожайности технических культур и списания на фин.результат курсовой разницы по валютным операциям.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jc w:val="both"/>
        <w:shd w:val="clear" w:color="ffffff" w:themeColor="background1" w:fill="ffffff" w:themeFill="background1"/>
        <w:tabs>
          <w:tab w:val="left" w:pos="709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ab/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Прибыль п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рибыльных предприятий на 1 се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нтября 2024 года составила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1741,1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млн. рублей или 72,3 % к аналогичному периоду 2023 года. В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2024 году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ожидается снижение прибыли за счет деятельности сельскохозяйственных предприятий в связи с погодно-климатическими условиями (засуха).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41"/>
        <w:jc w:val="center"/>
        <w:shd w:val="clear" w:color="ffffff" w:themeColor="background1" w:fill="ffffff" w:themeFill="background1"/>
        <w:tabs>
          <w:tab w:val="left" w:pos="709" w:leader="none"/>
          <w:tab w:val="left" w:pos="851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41"/>
        <w:jc w:val="center"/>
        <w:shd w:val="clear" w:color="ffffff" w:themeColor="background1" w:fill="ffffff" w:themeFill="background1"/>
        <w:tabs>
          <w:tab w:val="left" w:pos="709" w:leader="none"/>
          <w:tab w:val="left" w:pos="851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9. Уровень жизни населения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941"/>
        <w:jc w:val="center"/>
        <w:shd w:val="clear" w:color="ffffff" w:themeColor="background1" w:fill="ffffff" w:themeFill="background1"/>
        <w:tabs>
          <w:tab w:val="left" w:pos="709" w:leader="none"/>
          <w:tab w:val="left" w:pos="851" w:leader="none"/>
        </w:tabs>
        <w:rPr>
          <w:rFonts w:ascii="FreeSerif" w:hAnsi="FreeSerif" w:cs="FreeSerif"/>
          <w:bCs/>
          <w:color w:val="000000" w:themeColor="text1"/>
          <w:sz w:val="28"/>
          <w:szCs w:val="28"/>
          <w:highlight w:val="white"/>
        </w:rPr>
      </w:pPr>
      <w:r>
        <w:rPr>
          <w:rFonts w:ascii="FreeSerif" w:hAnsi="FreeSerif" w:eastAsia="FreeSerif" w:cs="FreeSerif"/>
          <w:bCs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bCs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bCs/>
          <w:color w:val="000000" w:themeColor="text1"/>
          <w:sz w:val="28"/>
          <w:szCs w:val="28"/>
          <w:highlight w:val="white"/>
        </w:rPr>
      </w:r>
    </w:p>
    <w:p>
      <w:pPr>
        <w:jc w:val="both"/>
        <w:shd w:val="clear" w:color="ffffff" w:themeColor="background1" w:fill="ffffff" w:themeFill="background1"/>
        <w:tabs>
          <w:tab w:val="left" w:pos="709" w:leader="none"/>
        </w:tabs>
        <w:rPr>
          <w:rFonts w:ascii="FreeSerif" w:hAnsi="FreeSerif" w:cs="FreeSerif"/>
          <w:color w:val="00000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Cs/>
          <w:color w:val="000000" w:themeColor="text1"/>
          <w:sz w:val="28"/>
          <w:szCs w:val="28"/>
          <w:highlight w:val="white"/>
        </w:rPr>
        <w:tab/>
      </w:r>
      <w:r>
        <w:rPr>
          <w:rFonts w:ascii="FreeSerif" w:hAnsi="FreeSerif" w:eastAsia="FreeSerif" w:cs="FreeSerif"/>
          <w:bCs/>
          <w:color w:val="000000" w:themeColor="text1"/>
          <w:sz w:val="28"/>
          <w:szCs w:val="28"/>
          <w:highlight w:val="white"/>
        </w:rPr>
        <w:t xml:space="preserve">По состоянию на 1 августа 2024 года с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реднемесячная заработная п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лата одного работника по крупным и средним предприятиям составила 57 731 рублей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или 117,2% к аналогичному периоду 2023 года.</w:t>
      </w:r>
      <w:r>
        <w:rPr>
          <w:rFonts w:ascii="FreeSerif" w:hAnsi="FreeSerif" w:eastAsia="FreeSerif" w:cs="FreeSerif"/>
          <w:i/>
          <w:iCs/>
          <w:color w:val="2c2d2e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iCs/>
          <w:color w:val="000000"/>
          <w:sz w:val="28"/>
          <w:szCs w:val="28"/>
          <w:highlight w:val="white"/>
        </w:rPr>
        <w:t xml:space="preserve">Увеличение обусловлено ростом заработной платы в сельском хозяйстве</w:t>
      </w:r>
      <w:r>
        <w:rPr>
          <w:rFonts w:ascii="FreeSerif" w:hAnsi="FreeSerif" w:eastAsia="FreeSerif" w:cs="FreeSerif"/>
          <w:iCs/>
          <w:color w:val="000000"/>
          <w:sz w:val="28"/>
          <w:szCs w:val="28"/>
          <w:highlight w:val="white"/>
          <w:shd w:val="clear" w:color="auto" w:fill="ffffff"/>
        </w:rPr>
        <w:t xml:space="preserve"> на предприятиях: ООО «Первомайская ИПС», ООО «Вторая Пятилетка», ОАО «Имени Ильича»</w:t>
      </w:r>
      <w:r>
        <w:rPr>
          <w:rFonts w:ascii="FreeSerif" w:hAnsi="FreeSerif" w:eastAsia="FreeSerif" w:cs="FreeSerif"/>
          <w:iCs/>
          <w:color w:val="000000"/>
          <w:sz w:val="28"/>
          <w:szCs w:val="28"/>
          <w:highlight w:val="white"/>
        </w:rPr>
        <w:t xml:space="preserve">. В обрабатывающих производствах увеличение обусловлено новыми заключенными контрактами, а также спросом на выпускаемую продукцию промышленного предприятия ООО «Век», в строительстве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  <w:shd w:val="clear" w:color="auto" w:fill="ffffff"/>
        </w:rPr>
        <w:t xml:space="preserve"> </w:t>
      </w:r>
      <w:r>
        <w:rPr>
          <w:rFonts w:ascii="FreeSerif" w:hAnsi="FreeSerif" w:eastAsia="FreeSerif" w:cs="FreeSerif"/>
          <w:iCs/>
          <w:color w:val="000000"/>
          <w:sz w:val="28"/>
          <w:szCs w:val="28"/>
          <w:highlight w:val="white"/>
          <w:shd w:val="clear" w:color="auto" w:fill="ffffff"/>
        </w:rPr>
        <w:t xml:space="preserve">за счёт предприятия 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  <w:shd w:val="clear" w:color="auto" w:fill="ffffff"/>
        </w:rPr>
        <w:t xml:space="preserve">НАО «Ленинградское ДРСУ»</w:t>
      </w:r>
      <w:r>
        <w:rPr>
          <w:rFonts w:ascii="FreeSerif" w:hAnsi="FreeSerif" w:eastAsia="FreeSerif" w:cs="FreeSerif"/>
          <w:iCs/>
          <w:color w:val="000000"/>
          <w:sz w:val="28"/>
          <w:szCs w:val="28"/>
          <w:highlight w:val="white"/>
        </w:rPr>
        <w:t xml:space="preserve">, торговле </w:t>
      </w:r>
      <w:r>
        <w:rPr>
          <w:rFonts w:ascii="FreeSerif" w:hAnsi="FreeSerif" w:eastAsia="FreeSerif" w:cs="FreeSerif"/>
          <w:iCs/>
          <w:color w:val="000000"/>
          <w:sz w:val="28"/>
          <w:szCs w:val="28"/>
          <w:highlight w:val="white"/>
          <w:shd w:val="clear" w:color="auto" w:fill="ffffff"/>
        </w:rPr>
        <w:t xml:space="preserve">за счет предприятий АО «Тандер» и ООО «Агроторг»,</w:t>
      </w:r>
      <w:r>
        <w:rPr>
          <w:rFonts w:ascii="FreeSerif" w:hAnsi="FreeSerif" w:eastAsia="FreeSerif" w:cs="FreeSerif"/>
          <w:iCs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FreeSerif" w:hAnsi="FreeSerif" w:eastAsia="FreeSerif" w:cs="FreeSerif"/>
          <w:iCs/>
          <w:color w:val="000000"/>
          <w:sz w:val="28"/>
          <w:szCs w:val="28"/>
          <w:highlight w:val="white"/>
          <w:shd w:val="clear" w:color="auto" w:fill="ffffff"/>
        </w:rPr>
        <w:t xml:space="preserve">ОП ООО «Альфа-М»,</w:t>
      </w:r>
      <w:r>
        <w:rPr>
          <w:rFonts w:ascii="FreeSerif" w:hAnsi="FreeSerif" w:eastAsia="FreeSerif" w:cs="FreeSerif"/>
          <w:iCs/>
          <w:color w:val="000000"/>
          <w:sz w:val="28"/>
          <w:szCs w:val="28"/>
          <w:highlight w:val="white"/>
          <w:shd w:val="clear" w:color="auto" w:fill="ffffff"/>
        </w:rPr>
        <w:t xml:space="preserve"> в транспортировке и хранении </w:t>
      </w:r>
      <w:r>
        <w:rPr>
          <w:rFonts w:ascii="FreeSerif" w:hAnsi="FreeSerif" w:eastAsia="FreeSerif" w:cs="FreeSerif"/>
          <w:iCs/>
          <w:color w:val="000000"/>
          <w:sz w:val="28"/>
          <w:szCs w:val="28"/>
          <w:highlight w:val="white"/>
          <w:shd w:val="clear" w:color="auto" w:fill="ffffff"/>
        </w:rPr>
        <w:t xml:space="preserve">за счёт предприятия НАО «Ленинградс</w:t>
      </w:r>
      <w:r>
        <w:rPr>
          <w:rFonts w:ascii="FreeSerif" w:hAnsi="FreeSerif" w:eastAsia="FreeSerif" w:cs="FreeSerif"/>
          <w:iCs/>
          <w:color w:val="000000"/>
          <w:sz w:val="28"/>
          <w:szCs w:val="28"/>
          <w:highlight w:val="white"/>
          <w:shd w:val="clear" w:color="auto" w:fill="ffffff"/>
        </w:rPr>
        <w:t xml:space="preserve">кое ДРСУ», общественном питании</w:t>
      </w:r>
      <w:r>
        <w:rPr>
          <w:rFonts w:ascii="FreeSerif" w:hAnsi="FreeSerif" w:eastAsia="FreeSerif" w:cs="FreeSerif"/>
          <w:iCs/>
          <w:color w:val="000000"/>
          <w:sz w:val="28"/>
          <w:szCs w:val="28"/>
          <w:highlight w:val="white"/>
          <w:shd w:val="clear" w:color="auto" w:fill="ffffff"/>
        </w:rPr>
        <w:t xml:space="preserve"> за счет увеличения посещаемости и роста заработной платы в столовых АО «Ленинградское», ОАО «Имени Ильича», АО «Белое».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Задолженность по заработной плате перед работниками крупных и средних предприятий отсутствует.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</w:r>
      <w:r>
        <w:rPr>
          <w:rFonts w:ascii="FreeSerif" w:hAnsi="FreeSerif" w:cs="FreeSerif"/>
          <w:color w:val="000000"/>
          <w:sz w:val="28"/>
          <w:szCs w:val="28"/>
          <w:highlight w:val="white"/>
        </w:rPr>
      </w:r>
    </w:p>
    <w:p>
      <w:pPr>
        <w:jc w:val="center"/>
        <w:shd w:val="clear" w:color="ffffff" w:themeColor="background1" w:fill="ffffff" w:themeFill="background1"/>
        <w:tabs>
          <w:tab w:val="left" w:pos="2891" w:leader="none"/>
        </w:tabs>
        <w:rPr>
          <w:rFonts w:ascii="FreeSerif" w:hAnsi="FreeSerif" w:cs="FreeSerif"/>
          <w:b/>
          <w:bCs/>
          <w:color w:val="00000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  <w:highlight w:val="white"/>
        </w:rPr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  <w:highlight w:val="white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  <w:highlight w:val="white"/>
        </w:rPr>
      </w:r>
    </w:p>
    <w:p>
      <w:pPr>
        <w:jc w:val="center"/>
        <w:shd w:val="clear" w:color="ffffff" w:themeColor="background1" w:fill="ffffff" w:themeFill="background1"/>
        <w:tabs>
          <w:tab w:val="left" w:pos="2891" w:leader="none"/>
        </w:tabs>
        <w:rPr>
          <w:rFonts w:ascii="FreeSerif" w:hAnsi="FreeSerif" w:cs="FreeSerif"/>
          <w:b/>
          <w:bCs/>
          <w:color w:val="00000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  <w:highlight w:val="white"/>
        </w:rPr>
        <w:t xml:space="preserve">10. Ситуация на рынке труда.</w:t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  <w:highlight w:val="white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  <w:highlight w:val="white"/>
        </w:rPr>
      </w:r>
    </w:p>
    <w:p>
      <w:pPr>
        <w:shd w:val="clear" w:color="ffffff" w:themeColor="background1" w:fill="ffffff" w:themeFill="background1"/>
        <w:tabs>
          <w:tab w:val="left" w:pos="2891" w:leader="none"/>
        </w:tabs>
        <w:rPr>
          <w:rFonts w:ascii="FreeSerif" w:hAnsi="FreeSerif" w:cs="FreeSerif"/>
          <w:b/>
          <w:bCs/>
          <w:color w:val="00000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  <w:highlight w:val="white"/>
        </w:rPr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  <w:highlight w:val="white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  <w:highlight w:val="white"/>
        </w:rPr>
      </w:r>
    </w:p>
    <w:p>
      <w:pPr>
        <w:jc w:val="both"/>
        <w:shd w:val="clear" w:color="ffffff" w:themeColor="background1" w:fill="ffffff" w:themeFill="background1"/>
        <w:tabs>
          <w:tab w:val="left" w:pos="709" w:leader="none"/>
        </w:tabs>
        <w:rPr>
          <w:rFonts w:ascii="FreeSerif" w:hAnsi="FreeSerif" w:cs="FreeSerif"/>
          <w:color w:val="00000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  <w:highlight w:val="white"/>
        </w:rPr>
        <w:tab/>
      </w:r>
      <w:r>
        <w:rPr>
          <w:rFonts w:ascii="FreeSerif" w:hAnsi="FreeSerif" w:eastAsia="FreeSerif" w:cs="FreeSerif"/>
          <w:bCs/>
          <w:color w:val="000000"/>
          <w:sz w:val="28"/>
          <w:szCs w:val="28"/>
          <w:highlight w:val="white"/>
        </w:rPr>
        <w:t xml:space="preserve">По состоянию на 1 сентября 2024 года</w:t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среднесписочная численность работников предприятий составила 9186 человека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или 102,5% к аналогичному периоду 2023 года.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</w:r>
      <w:r>
        <w:rPr>
          <w:rFonts w:ascii="FreeSerif" w:hAnsi="FreeSerif" w:cs="FreeSerif"/>
          <w:color w:val="000000"/>
          <w:sz w:val="28"/>
          <w:szCs w:val="28"/>
          <w:highlight w:val="white"/>
        </w:rPr>
      </w:r>
    </w:p>
    <w:p>
      <w:pPr>
        <w:jc w:val="both"/>
        <w:shd w:val="clear" w:color="ffffff" w:themeColor="background1" w:fill="ffffff" w:themeFill="background1"/>
        <w:tabs>
          <w:tab w:val="left" w:pos="709" w:leader="none"/>
        </w:tabs>
        <w:rPr>
          <w:rFonts w:ascii="FreeSerif" w:hAnsi="FreeSerif" w:cs="FreeSerif"/>
          <w:color w:val="000000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ab/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Уровень регистрируемой безработицы по состоянию на 1 октября 2024 года составил 0,4%, за аналогичный период прошлого года уровень безработицы составлял 0,4 %.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</w:r>
      <w:r>
        <w:rPr>
          <w:rFonts w:ascii="FreeSerif" w:hAnsi="FreeSerif" w:cs="FreeSerif"/>
          <w:color w:val="000000"/>
          <w:sz w:val="28"/>
          <w:szCs w:val="28"/>
          <w:highlight w:val="white"/>
        </w:rPr>
      </w:r>
    </w:p>
    <w:p>
      <w:pPr>
        <w:ind w:firstLine="708"/>
        <w:jc w:val="both"/>
        <w:shd w:val="clear" w:color="ffffff" w:themeColor="background1" w:fill="ffffff" w:themeFill="background1"/>
        <w:tabs>
          <w:tab w:val="left" w:pos="709" w:leader="none"/>
        </w:tabs>
        <w:rPr>
          <w:rFonts w:ascii="FreeSerif" w:hAnsi="FreeSerif" w:cs="FreeSerif"/>
          <w:bCs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Численность безработных граждан, зарегистрированных в центре занятости населения Ленинградского района по состоянию на 1октября 2024 года составила 115 человек, что соста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вляет 89,8% к уровню 1 октября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2023 года. </w:t>
      </w:r>
      <w:r>
        <w:rPr>
          <w:rFonts w:ascii="FreeSerif" w:hAnsi="FreeSerif" w:eastAsia="FreeSerif" w:cs="FreeSerif"/>
          <w:bCs/>
          <w:sz w:val="28"/>
          <w:szCs w:val="28"/>
          <w:highlight w:val="white"/>
        </w:rPr>
      </w:r>
      <w:r>
        <w:rPr>
          <w:rFonts w:ascii="FreeSerif" w:hAnsi="FreeSerif" w:cs="FreeSerif"/>
          <w:bCs/>
          <w:sz w:val="28"/>
          <w:szCs w:val="28"/>
          <w:highlight w:val="white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701" w:header="567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FreeSerif">
    <w:panose1 w:val="02020603050405020304"/>
  </w:font>
  <w:font w:name="Wingdings">
    <w:panose1 w:val="05010000000000000000"/>
  </w:font>
  <w:font w:name="Courier New">
    <w:panose1 w:val="02070409020205020404"/>
  </w:font>
  <w:font w:name="SimSun">
    <w:panose1 w:val="02000506000000020000"/>
  </w:font>
  <w:font w:name="Times New Roman">
    <w:panose1 w:val="02020603050405020304"/>
  </w:font>
  <w:font w:name="F">
    <w:panose1 w:val="020B0609050000020004"/>
  </w:font>
  <w:font w:name="Lucida Sans Unicode">
    <w:panose1 w:val="020B0603030804020204"/>
  </w:font>
  <w:font w:name="Tahoma">
    <w:panose1 w:val="020B0606040504020204"/>
  </w:font>
  <w:font w:name="Calibri">
    <w:panose1 w:val="020F0502020204030204"/>
  </w:font>
  <w:font w:name="Arial">
    <w:panose1 w:val="020B0604020202020204"/>
  </w:font>
  <w:font w:name="Calibri Light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0"/>
      <w:rPr>
        <w:rStyle w:val="945"/>
      </w:rPr>
      <w:framePr w:wrap="around" w:vAnchor="text" w:hAnchor="margin" w:xAlign="center" w:y="1"/>
    </w:pPr>
    <w:r>
      <w:rPr>
        <w:rStyle w:val="945"/>
      </w:rPr>
      <w:fldChar w:fldCharType="begin"/>
    </w:r>
    <w:r>
      <w:rPr>
        <w:rStyle w:val="945"/>
      </w:rPr>
      <w:instrText xml:space="preserve">PAGE  </w:instrText>
    </w:r>
    <w:r>
      <w:rPr>
        <w:rStyle w:val="945"/>
      </w:rPr>
      <w:fldChar w:fldCharType="separate"/>
    </w:r>
    <w:r>
      <w:rPr>
        <w:rStyle w:val="945"/>
      </w:rPr>
      <w:t xml:space="preserve">1</w:t>
    </w:r>
    <w:r>
      <w:rPr>
        <w:rStyle w:val="945"/>
      </w:rPr>
      <w:fldChar w:fldCharType="end"/>
    </w:r>
    <w:r>
      <w:rPr>
        <w:rStyle w:val="945"/>
      </w:rPr>
    </w:r>
    <w:r>
      <w:rPr>
        <w:rStyle w:val="945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0"/>
      <w:rPr>
        <w:rStyle w:val="945"/>
      </w:rPr>
      <w:framePr w:wrap="around" w:vAnchor="text" w:hAnchor="margin" w:xAlign="center" w:y="1"/>
    </w:pPr>
    <w:r>
      <w:rPr>
        <w:rStyle w:val="945"/>
      </w:rPr>
      <w:fldChar w:fldCharType="begin"/>
    </w:r>
    <w:r>
      <w:rPr>
        <w:rStyle w:val="945"/>
      </w:rPr>
      <w:instrText xml:space="preserve">PAGE  </w:instrText>
    </w:r>
    <w:r>
      <w:rPr>
        <w:rStyle w:val="945"/>
      </w:rPr>
      <w:fldChar w:fldCharType="end"/>
    </w:r>
    <w:r>
      <w:rPr>
        <w:rStyle w:val="945"/>
      </w:rPr>
    </w:r>
    <w:r>
      <w:rPr>
        <w:rStyle w:val="945"/>
      </w:rPr>
    </w:r>
  </w:p>
  <w:p>
    <w:pPr>
      <w:pStyle w:val="79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9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501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73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45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17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89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61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33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05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515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5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45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1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75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770" w:hanging="180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205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000" w:hanging="2160"/>
      </w:pPr>
      <w:rPr>
        <w:b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30" w:hanging="360"/>
      </w:pPr>
      <w:rPr>
        <w:b/>
        <w:i/>
      </w:rPr>
    </w:lvl>
    <w:lvl w:ilvl="1">
      <w:start w:val="1"/>
      <w:numFmt w:val="lowerLetter"/>
      <w:isLgl w:val="false"/>
      <w:suff w:val="tab"/>
      <w:lvlText w:val="%2."/>
      <w:lvlJc w:val="left"/>
      <w:pPr>
        <w:ind w:left="46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37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0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8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53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2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9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69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4265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5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45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1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75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770" w:hanging="180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205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000" w:hanging="2160"/>
      </w:pPr>
      <w:rPr>
        <w:b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00" w:hanging="360"/>
        <w:tabs>
          <w:tab w:val="num" w:pos="110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20" w:hanging="360"/>
        <w:tabs>
          <w:tab w:val="num" w:pos="182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40" w:hanging="360"/>
        <w:tabs>
          <w:tab w:val="num" w:pos="254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60" w:hanging="360"/>
        <w:tabs>
          <w:tab w:val="num" w:pos="326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80" w:hanging="360"/>
        <w:tabs>
          <w:tab w:val="num" w:pos="398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00" w:hanging="360"/>
        <w:tabs>
          <w:tab w:val="num" w:pos="470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20" w:hanging="360"/>
        <w:tabs>
          <w:tab w:val="num" w:pos="542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40" w:hanging="360"/>
        <w:tabs>
          <w:tab w:val="num" w:pos="614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60" w:hanging="360"/>
        <w:tabs>
          <w:tab w:val="num" w:pos="6860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64" w:hanging="360"/>
        <w:tabs>
          <w:tab w:val="num" w:pos="864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84" w:hanging="360"/>
        <w:tabs>
          <w:tab w:val="num" w:pos="1584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4" w:hanging="360"/>
        <w:tabs>
          <w:tab w:val="num" w:pos="2304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4" w:hanging="360"/>
        <w:tabs>
          <w:tab w:val="num" w:pos="3024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4" w:hanging="360"/>
        <w:tabs>
          <w:tab w:val="num" w:pos="3744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4" w:hanging="360"/>
        <w:tabs>
          <w:tab w:val="num" w:pos="4464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4" w:hanging="360"/>
        <w:tabs>
          <w:tab w:val="num" w:pos="5184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4" w:hanging="360"/>
        <w:tabs>
          <w:tab w:val="num" w:pos="5904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4" w:hanging="360"/>
        <w:tabs>
          <w:tab w:val="num" w:pos="6624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5" w:hanging="405"/>
        <w:tabs>
          <w:tab w:val="num" w:pos="7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0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8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5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2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9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6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4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1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846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  <w:tabs>
          <w:tab w:val="num" w:pos="115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  <w:tabs>
          <w:tab w:val="num" w:pos="187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  <w:tabs>
          <w:tab w:val="num" w:pos="259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  <w:tabs>
          <w:tab w:val="num" w:pos="331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  <w:tabs>
          <w:tab w:val="num" w:pos="403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  <w:tabs>
          <w:tab w:val="num" w:pos="475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  <w:tabs>
          <w:tab w:val="num" w:pos="547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  <w:tabs>
          <w:tab w:val="num" w:pos="6195" w:leader="none"/>
        </w:tabs>
      </w:pPr>
    </w:lvl>
  </w:abstractNum>
  <w:num w:numId="1">
    <w:abstractNumId w:val="4"/>
  </w:num>
  <w:num w:numId="2">
    <w:abstractNumId w:val="5"/>
  </w:num>
  <w:num w:numId="3">
    <w:abstractNumId w:val="18"/>
  </w:num>
  <w:num w:numId="4">
    <w:abstractNumId w:val="6"/>
  </w:num>
  <w:num w:numId="5">
    <w:abstractNumId w:val="8"/>
  </w:num>
  <w:num w:numId="6">
    <w:abstractNumId w:val="16"/>
  </w:num>
  <w:num w:numId="7">
    <w:abstractNumId w:val="9"/>
  </w:num>
  <w:num w:numId="8">
    <w:abstractNumId w:val="7"/>
  </w:num>
  <w:num w:numId="9">
    <w:abstractNumId w:val="14"/>
  </w:num>
  <w:num w:numId="10">
    <w:abstractNumId w:val="10"/>
  </w:num>
  <w:num w:numId="11">
    <w:abstractNumId w:val="12"/>
  </w:num>
  <w:num w:numId="12">
    <w:abstractNumId w:val="13"/>
  </w:num>
  <w:num w:numId="13">
    <w:abstractNumId w:val="1"/>
  </w:num>
  <w:num w:numId="14">
    <w:abstractNumId w:val="16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2"/>
  </w:num>
  <w:num w:numId="18">
    <w:abstractNumId w:val="0"/>
  </w:num>
  <w:num w:numId="19">
    <w:abstractNumId w:val="17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8" w:default="1">
    <w:name w:val="Normal"/>
    <w:qFormat/>
  </w:style>
  <w:style w:type="paragraph" w:styleId="729">
    <w:name w:val="Heading 1"/>
    <w:basedOn w:val="728"/>
    <w:link w:val="956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730">
    <w:name w:val="Heading 2"/>
    <w:basedOn w:val="728"/>
    <w:next w:val="728"/>
    <w:link w:val="98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731">
    <w:name w:val="Heading 3"/>
    <w:basedOn w:val="728"/>
    <w:next w:val="728"/>
    <w:link w:val="7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2">
    <w:name w:val="Heading 4"/>
    <w:basedOn w:val="728"/>
    <w:next w:val="728"/>
    <w:link w:val="957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33">
    <w:name w:val="Heading 5"/>
    <w:basedOn w:val="728"/>
    <w:next w:val="728"/>
    <w:link w:val="972"/>
    <w:semiHidden/>
    <w:unhideWhenUsed/>
    <w:qFormat/>
    <w:pPr>
      <w:jc w:val="both"/>
      <w:spacing w:before="240" w:after="60"/>
      <w:widowControl w:val="off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34">
    <w:name w:val="Heading 6"/>
    <w:basedOn w:val="728"/>
    <w:next w:val="728"/>
    <w:link w:val="7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5">
    <w:name w:val="Heading 7"/>
    <w:basedOn w:val="728"/>
    <w:next w:val="728"/>
    <w:link w:val="7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728"/>
    <w:next w:val="728"/>
    <w:link w:val="7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7">
    <w:name w:val="Heading 9"/>
    <w:basedOn w:val="728"/>
    <w:next w:val="728"/>
    <w:link w:val="7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8" w:default="1">
    <w:name w:val="Default Paragraph Font"/>
    <w:uiPriority w:val="1"/>
    <w:semiHidden/>
    <w:unhideWhenUsed/>
  </w:style>
  <w:style w:type="table" w:styleId="7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0" w:default="1">
    <w:name w:val="No List"/>
    <w:uiPriority w:val="99"/>
    <w:semiHidden/>
    <w:unhideWhenUsed/>
  </w:style>
  <w:style w:type="table" w:styleId="741">
    <w:name w:val="Plain Table 1"/>
    <w:basedOn w:val="739"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blStylePr w:type="band1Horz">
      <w:tcPr>
        <w:shd w:val="clear" w:color="f2f2f2" w:fill="f2f2f2"/>
      </w:tcPr>
    </w:tblStylePr>
    <w:tblStylePr w:type="band1Vert">
      <w:tcPr>
        <w:shd w:val="clear" w:color="f2f2f2" w:fill="f2f2f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739"/>
    <w:uiPriority w:val="59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blStylePr w:type="band1Horz"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73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73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73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739"/>
    <w:uiPriority w:val="99"/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basedOn w:val="739"/>
    <w:uiPriority w:val="99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739"/>
    <w:uiPriority w:val="99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basedOn w:val="739"/>
    <w:uiPriority w:val="59"/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/>
        </w:tcBorders>
      </w:tcPr>
    </w:tblStylePr>
  </w:style>
  <w:style w:type="table" w:styleId="750">
    <w:name w:val="Grid Table 5 Dark"/>
    <w:basedOn w:val="739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blStylePr w:type="band1Horz">
      <w:tcPr>
        <w:shd w:val="clear" w:color="8a8a8a" w:fill="8a8a8a"/>
      </w:tcPr>
    </w:tblStylePr>
    <w:tblStylePr w:type="band1Vert">
      <w:tcPr>
        <w:shd w:val="clear" w:color="8a8a8a" w:fill="8a8a8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/>
        <w:tcBorders>
          <w:top w:val="single" w:color="FFFFFF" w:sz="4" w:space="0"/>
        </w:tcBorders>
      </w:tcPr>
    </w:tblStylePr>
  </w:style>
  <w:style w:type="table" w:styleId="751">
    <w:name w:val="Grid Table 6 Colorful"/>
    <w:basedOn w:val="739"/>
    <w:uiPriority w:val="99"/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band1Horz">
      <w:rPr>
        <w:rFonts w:ascii="Arial" w:hAnsi="Arial"/>
        <w:color w:val="7f7f7f"/>
        <w:sz w:val="22"/>
      </w:rPr>
      <w:tcPr>
        <w:shd w:val="clear" w:color="cbcbcb" w:fill="cbcbcb"/>
      </w:tcPr>
    </w:tblStylePr>
    <w:tblStylePr w:type="band1Vert"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b/>
        <w:color w:val="7f7f7f"/>
      </w:rPr>
    </w:tblStylePr>
    <w:tblStylePr w:type="firstRow">
      <w:rPr>
        <w:b/>
        <w:color w:val="7f7f7f"/>
      </w:r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</w:tblStylePr>
    <w:tblStylePr w:type="lastRow">
      <w:rPr>
        <w:b/>
        <w:color w:val="7f7f7f"/>
      </w:rPr>
    </w:tblStylePr>
  </w:style>
  <w:style w:type="table" w:styleId="752">
    <w:name w:val="Grid Table 7 Colorful"/>
    <w:basedOn w:val="739"/>
    <w:uiPriority w:val="99"/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band1Horz">
      <w:rPr>
        <w:rFonts w:ascii="Arial" w:hAnsi="Arial"/>
        <w:color w:val="7f7f7f"/>
        <w:sz w:val="22"/>
      </w:rPr>
      <w:tcPr>
        <w:shd w:val="clear" w:color="f2f2f2" w:fill="f2f2f2"/>
      </w:tcPr>
    </w:tblStylePr>
    <w:tblStylePr w:type="band1Vert"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rFonts w:ascii="Arial" w:hAnsi="Arial"/>
        <w:i/>
        <w:color w:val="7f7f7f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739"/>
    <w:uiPriority w:val="99"/>
    <w:tblPr>
      <w:tblStyleRowBandSize w:val="1"/>
      <w:tblStyleColBandSize w:val="1"/>
    </w:tblPr>
    <w:tblStylePr w:type="band1Horz"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739"/>
    <w:uiPriority w:val="99"/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</w:style>
  <w:style w:type="table" w:styleId="755">
    <w:name w:val="List Table 3"/>
    <w:basedOn w:val="739"/>
    <w:uiPriority w:val="99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"/>
    <w:basedOn w:val="739"/>
    <w:uiPriority w:val="99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5 Dark"/>
    <w:basedOn w:val="739"/>
    <w:uiPriority w:val="99"/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blStylePr w:type="band1Horz"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758">
    <w:name w:val="List Table 6 Colorful"/>
    <w:basedOn w:val="739"/>
    <w:uiPriority w:val="99"/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band1Horz">
      <w:rPr>
        <w:rFonts w:ascii="Arial" w:hAnsi="Arial"/>
        <w:color w:val="000000"/>
        <w:sz w:val="22"/>
      </w:rPr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  <w:tblStylePr w:type="firstCol">
      <w:rPr>
        <w:b/>
        <w:color w:val="000000"/>
      </w:rPr>
    </w:tblStylePr>
    <w:tblStylePr w:type="firstRow">
      <w:rPr>
        <w:b/>
        <w:color w:val="000000"/>
      </w:r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</w:tblStylePr>
    <w:tblStylePr w:type="lastRow">
      <w:rPr>
        <w:b/>
        <w:color w:val="000000"/>
      </w:rPr>
      <w:tcPr>
        <w:tcBorders>
          <w:top w:val="single" w:color="7F7F7F" w:sz="4" w:space="0"/>
        </w:tcBorders>
      </w:tcPr>
    </w:tblStylePr>
  </w:style>
  <w:style w:type="table" w:styleId="759">
    <w:name w:val="List Table 7 Colorful"/>
    <w:basedOn w:val="739"/>
    <w:uiPriority w:val="99"/>
    <w:tblPr>
      <w:tblStyleRowBandSize w:val="1"/>
      <w:tblStyleColBandSize w:val="1"/>
      <w:tblBorders>
        <w:right w:val="single" w:color="7F7F7F" w:sz="4" w:space="0"/>
      </w:tblBorders>
    </w:tblPr>
    <w:tblStylePr w:type="band1Horz">
      <w:rPr>
        <w:rFonts w:ascii="Arial" w:hAnsi="Arial"/>
        <w:color w:val="7f7f7f"/>
        <w:sz w:val="22"/>
      </w:rPr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rFonts w:ascii="Arial" w:hAnsi="Arial"/>
        <w:i/>
        <w:color w:val="7f7f7f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60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61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62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3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64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65" w:customStyle="1">
    <w:name w:val="Title Char"/>
    <w:uiPriority w:val="10"/>
    <w:rPr>
      <w:sz w:val="48"/>
      <w:szCs w:val="48"/>
    </w:rPr>
  </w:style>
  <w:style w:type="character" w:styleId="766" w:customStyle="1">
    <w:name w:val="Subtitle Char"/>
    <w:uiPriority w:val="11"/>
    <w:rPr>
      <w:sz w:val="24"/>
      <w:szCs w:val="24"/>
    </w:rPr>
  </w:style>
  <w:style w:type="character" w:styleId="767" w:customStyle="1">
    <w:name w:val="Quote Char"/>
    <w:uiPriority w:val="29"/>
    <w:rPr>
      <w:i/>
    </w:rPr>
  </w:style>
  <w:style w:type="character" w:styleId="768" w:customStyle="1">
    <w:name w:val="Intense Quote Char"/>
    <w:uiPriority w:val="30"/>
    <w:rPr>
      <w:i/>
    </w:rPr>
  </w:style>
  <w:style w:type="character" w:styleId="769" w:customStyle="1">
    <w:name w:val="Footnote Text Char"/>
    <w:uiPriority w:val="99"/>
    <w:rPr>
      <w:sz w:val="18"/>
    </w:rPr>
  </w:style>
  <w:style w:type="character" w:styleId="770" w:customStyle="1">
    <w:name w:val="Endnote Text Char"/>
    <w:uiPriority w:val="99"/>
    <w:rPr>
      <w:sz w:val="20"/>
    </w:rPr>
  </w:style>
  <w:style w:type="character" w:styleId="77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72" w:customStyle="1">
    <w:name w:val="Heading 2 Char"/>
    <w:uiPriority w:val="9"/>
    <w:rPr>
      <w:rFonts w:ascii="Arial" w:hAnsi="Arial" w:eastAsia="Arial" w:cs="Arial"/>
      <w:sz w:val="34"/>
    </w:rPr>
  </w:style>
  <w:style w:type="character" w:styleId="773" w:customStyle="1">
    <w:name w:val="Заголовок 3 Знак"/>
    <w:link w:val="731"/>
    <w:uiPriority w:val="9"/>
    <w:rPr>
      <w:rFonts w:ascii="Arial" w:hAnsi="Arial" w:eastAsia="Arial" w:cs="Arial"/>
      <w:sz w:val="30"/>
      <w:szCs w:val="30"/>
    </w:rPr>
  </w:style>
  <w:style w:type="character" w:styleId="774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75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76" w:customStyle="1">
    <w:name w:val="Заголовок 6 Знак"/>
    <w:link w:val="734"/>
    <w:uiPriority w:val="9"/>
    <w:rPr>
      <w:rFonts w:ascii="Arial" w:hAnsi="Arial" w:eastAsia="Arial" w:cs="Arial"/>
      <w:b/>
      <w:bCs/>
      <w:sz w:val="22"/>
      <w:szCs w:val="22"/>
    </w:rPr>
  </w:style>
  <w:style w:type="character" w:styleId="777" w:customStyle="1">
    <w:name w:val="Заголовок 7 Знак"/>
    <w:link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8" w:customStyle="1">
    <w:name w:val="Заголовок 8 Знак"/>
    <w:link w:val="736"/>
    <w:uiPriority w:val="9"/>
    <w:rPr>
      <w:rFonts w:ascii="Arial" w:hAnsi="Arial" w:eastAsia="Arial" w:cs="Arial"/>
      <w:i/>
      <w:iCs/>
      <w:sz w:val="22"/>
      <w:szCs w:val="22"/>
    </w:rPr>
  </w:style>
  <w:style w:type="character" w:styleId="779" w:customStyle="1">
    <w:name w:val="Заголовок 9 Знак"/>
    <w:link w:val="737"/>
    <w:uiPriority w:val="9"/>
    <w:rPr>
      <w:rFonts w:ascii="Arial" w:hAnsi="Arial" w:eastAsia="Arial" w:cs="Arial"/>
      <w:i/>
      <w:iCs/>
      <w:sz w:val="21"/>
      <w:szCs w:val="21"/>
    </w:rPr>
  </w:style>
  <w:style w:type="paragraph" w:styleId="780">
    <w:name w:val="List Paragraph"/>
    <w:basedOn w:val="728"/>
    <w:uiPriority w:val="34"/>
    <w:qFormat/>
    <w:pPr>
      <w:contextualSpacing/>
      <w:ind w:left="720"/>
    </w:pPr>
    <w:rPr>
      <w:sz w:val="24"/>
      <w:szCs w:val="24"/>
    </w:rPr>
  </w:style>
  <w:style w:type="paragraph" w:styleId="781">
    <w:name w:val="No Spacing"/>
    <w:link w:val="951"/>
    <w:uiPriority w:val="1"/>
    <w:qFormat/>
    <w:rPr>
      <w:rFonts w:ascii="Calibri" w:hAnsi="Calibri"/>
      <w:sz w:val="22"/>
      <w:szCs w:val="22"/>
    </w:rPr>
  </w:style>
  <w:style w:type="paragraph" w:styleId="782">
    <w:name w:val="Title"/>
    <w:basedOn w:val="728"/>
    <w:next w:val="728"/>
    <w:link w:val="7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3" w:customStyle="1">
    <w:name w:val="Название Знак"/>
    <w:link w:val="782"/>
    <w:uiPriority w:val="10"/>
    <w:rPr>
      <w:sz w:val="48"/>
      <w:szCs w:val="48"/>
    </w:rPr>
  </w:style>
  <w:style w:type="paragraph" w:styleId="784">
    <w:name w:val="Subtitle"/>
    <w:basedOn w:val="728"/>
    <w:next w:val="728"/>
    <w:link w:val="785"/>
    <w:uiPriority w:val="11"/>
    <w:qFormat/>
    <w:pPr>
      <w:spacing w:before="200" w:after="200"/>
    </w:pPr>
    <w:rPr>
      <w:sz w:val="24"/>
      <w:szCs w:val="24"/>
    </w:rPr>
  </w:style>
  <w:style w:type="character" w:styleId="785" w:customStyle="1">
    <w:name w:val="Подзаголовок Знак"/>
    <w:link w:val="784"/>
    <w:uiPriority w:val="11"/>
    <w:rPr>
      <w:sz w:val="24"/>
      <w:szCs w:val="24"/>
    </w:rPr>
  </w:style>
  <w:style w:type="paragraph" w:styleId="786">
    <w:name w:val="Quote"/>
    <w:basedOn w:val="728"/>
    <w:next w:val="728"/>
    <w:link w:val="787"/>
    <w:uiPriority w:val="29"/>
    <w:qFormat/>
    <w:pPr>
      <w:ind w:left="720" w:right="720"/>
    </w:pPr>
    <w:rPr>
      <w:i/>
    </w:rPr>
  </w:style>
  <w:style w:type="character" w:styleId="787" w:customStyle="1">
    <w:name w:val="Цитата 2 Знак"/>
    <w:link w:val="786"/>
    <w:uiPriority w:val="29"/>
    <w:rPr>
      <w:i/>
    </w:rPr>
  </w:style>
  <w:style w:type="paragraph" w:styleId="788">
    <w:name w:val="Intense Quote"/>
    <w:basedOn w:val="728"/>
    <w:next w:val="728"/>
    <w:link w:val="78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9" w:customStyle="1">
    <w:name w:val="Выделенная цитата Знак"/>
    <w:link w:val="788"/>
    <w:uiPriority w:val="30"/>
    <w:rPr>
      <w:i/>
    </w:rPr>
  </w:style>
  <w:style w:type="paragraph" w:styleId="790">
    <w:name w:val="Header"/>
    <w:basedOn w:val="728"/>
    <w:link w:val="973"/>
    <w:pPr>
      <w:tabs>
        <w:tab w:val="center" w:pos="4677" w:leader="none"/>
        <w:tab w:val="right" w:pos="9355" w:leader="none"/>
      </w:tabs>
    </w:pPr>
  </w:style>
  <w:style w:type="character" w:styleId="791" w:customStyle="1">
    <w:name w:val="Header Char"/>
    <w:uiPriority w:val="99"/>
  </w:style>
  <w:style w:type="paragraph" w:styleId="792">
    <w:name w:val="Footer"/>
    <w:basedOn w:val="728"/>
    <w:link w:val="959"/>
    <w:pPr>
      <w:tabs>
        <w:tab w:val="center" w:pos="4677" w:leader="none"/>
        <w:tab w:val="right" w:pos="9355" w:leader="none"/>
      </w:tabs>
    </w:pPr>
  </w:style>
  <w:style w:type="character" w:styleId="793" w:customStyle="1">
    <w:name w:val="Footer Char"/>
    <w:uiPriority w:val="99"/>
  </w:style>
  <w:style w:type="paragraph" w:styleId="794">
    <w:name w:val="Caption"/>
    <w:basedOn w:val="728"/>
    <w:next w:val="72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95" w:customStyle="1">
    <w:name w:val="Caption Char"/>
    <w:uiPriority w:val="99"/>
  </w:style>
  <w:style w:type="table" w:styleId="796">
    <w:name w:val="Table Grid"/>
    <w:basedOn w:val="739"/>
    <w:uiPriority w:val="59"/>
    <w:tblPr/>
  </w:style>
  <w:style w:type="table" w:styleId="797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22">
    <w:name w:val="Hyperlink"/>
    <w:rPr>
      <w:color w:val="0000ff"/>
      <w:u w:val="single"/>
    </w:rPr>
  </w:style>
  <w:style w:type="paragraph" w:styleId="923">
    <w:name w:val="footnote text"/>
    <w:basedOn w:val="728"/>
    <w:link w:val="924"/>
    <w:uiPriority w:val="99"/>
    <w:semiHidden/>
    <w:unhideWhenUsed/>
    <w:pPr>
      <w:spacing w:after="40"/>
    </w:pPr>
    <w:rPr>
      <w:sz w:val="18"/>
    </w:rPr>
  </w:style>
  <w:style w:type="character" w:styleId="924" w:customStyle="1">
    <w:name w:val="Текст сноски Знак"/>
    <w:link w:val="923"/>
    <w:uiPriority w:val="99"/>
    <w:rPr>
      <w:sz w:val="18"/>
    </w:rPr>
  </w:style>
  <w:style w:type="character" w:styleId="925">
    <w:name w:val="footnote reference"/>
    <w:uiPriority w:val="99"/>
    <w:unhideWhenUsed/>
    <w:rPr>
      <w:vertAlign w:val="superscript"/>
    </w:rPr>
  </w:style>
  <w:style w:type="paragraph" w:styleId="926">
    <w:name w:val="endnote text"/>
    <w:basedOn w:val="728"/>
    <w:link w:val="927"/>
    <w:uiPriority w:val="99"/>
    <w:semiHidden/>
    <w:unhideWhenUsed/>
  </w:style>
  <w:style w:type="character" w:styleId="927" w:customStyle="1">
    <w:name w:val="Текст концевой сноски Знак"/>
    <w:link w:val="926"/>
    <w:uiPriority w:val="99"/>
    <w:rPr>
      <w:sz w:val="20"/>
    </w:rPr>
  </w:style>
  <w:style w:type="character" w:styleId="928">
    <w:name w:val="endnote reference"/>
    <w:uiPriority w:val="99"/>
    <w:semiHidden/>
    <w:unhideWhenUsed/>
    <w:rPr>
      <w:vertAlign w:val="superscript"/>
    </w:rPr>
  </w:style>
  <w:style w:type="paragraph" w:styleId="929">
    <w:name w:val="toc 1"/>
    <w:basedOn w:val="728"/>
    <w:next w:val="728"/>
    <w:uiPriority w:val="39"/>
    <w:unhideWhenUsed/>
    <w:pPr>
      <w:spacing w:after="57"/>
    </w:pPr>
  </w:style>
  <w:style w:type="paragraph" w:styleId="930">
    <w:name w:val="toc 2"/>
    <w:basedOn w:val="728"/>
    <w:next w:val="728"/>
    <w:uiPriority w:val="39"/>
    <w:unhideWhenUsed/>
    <w:pPr>
      <w:ind w:left="283"/>
      <w:spacing w:after="57"/>
    </w:pPr>
  </w:style>
  <w:style w:type="paragraph" w:styleId="931">
    <w:name w:val="toc 3"/>
    <w:basedOn w:val="728"/>
    <w:next w:val="728"/>
    <w:uiPriority w:val="39"/>
    <w:unhideWhenUsed/>
    <w:pPr>
      <w:ind w:left="567"/>
      <w:spacing w:after="57"/>
    </w:pPr>
  </w:style>
  <w:style w:type="paragraph" w:styleId="932">
    <w:name w:val="toc 4"/>
    <w:basedOn w:val="728"/>
    <w:next w:val="728"/>
    <w:uiPriority w:val="39"/>
    <w:unhideWhenUsed/>
    <w:pPr>
      <w:ind w:left="850"/>
      <w:spacing w:after="57"/>
    </w:pPr>
  </w:style>
  <w:style w:type="paragraph" w:styleId="933">
    <w:name w:val="toc 5"/>
    <w:basedOn w:val="728"/>
    <w:next w:val="728"/>
    <w:uiPriority w:val="39"/>
    <w:unhideWhenUsed/>
    <w:pPr>
      <w:ind w:left="1134"/>
      <w:spacing w:after="57"/>
    </w:pPr>
  </w:style>
  <w:style w:type="paragraph" w:styleId="934">
    <w:name w:val="toc 6"/>
    <w:basedOn w:val="728"/>
    <w:next w:val="728"/>
    <w:uiPriority w:val="39"/>
    <w:unhideWhenUsed/>
    <w:pPr>
      <w:ind w:left="1417"/>
      <w:spacing w:after="57"/>
    </w:pPr>
  </w:style>
  <w:style w:type="paragraph" w:styleId="935">
    <w:name w:val="toc 7"/>
    <w:basedOn w:val="728"/>
    <w:next w:val="728"/>
    <w:uiPriority w:val="39"/>
    <w:unhideWhenUsed/>
    <w:pPr>
      <w:ind w:left="1701"/>
      <w:spacing w:after="57"/>
    </w:pPr>
  </w:style>
  <w:style w:type="paragraph" w:styleId="936">
    <w:name w:val="toc 8"/>
    <w:basedOn w:val="728"/>
    <w:next w:val="728"/>
    <w:uiPriority w:val="39"/>
    <w:unhideWhenUsed/>
    <w:pPr>
      <w:ind w:left="1984"/>
      <w:spacing w:after="57"/>
    </w:pPr>
  </w:style>
  <w:style w:type="paragraph" w:styleId="937">
    <w:name w:val="toc 9"/>
    <w:basedOn w:val="728"/>
    <w:next w:val="728"/>
    <w:uiPriority w:val="39"/>
    <w:unhideWhenUsed/>
    <w:pPr>
      <w:ind w:left="2268"/>
      <w:spacing w:after="57"/>
    </w:pPr>
  </w:style>
  <w:style w:type="paragraph" w:styleId="938">
    <w:name w:val="TOC Heading"/>
    <w:uiPriority w:val="39"/>
    <w:unhideWhenUsed/>
    <w:rPr>
      <w:lang w:eastAsia="zh-CN"/>
    </w:rPr>
  </w:style>
  <w:style w:type="paragraph" w:styleId="939">
    <w:name w:val="table of figures"/>
    <w:basedOn w:val="728"/>
    <w:next w:val="728"/>
    <w:uiPriority w:val="99"/>
    <w:unhideWhenUsed/>
  </w:style>
  <w:style w:type="paragraph" w:styleId="940" w:customStyle="1">
    <w:name w:val="Normal1"/>
    <w:rPr>
      <w:sz w:val="28"/>
    </w:rPr>
  </w:style>
  <w:style w:type="paragraph" w:styleId="941">
    <w:name w:val="Body Text 2"/>
    <w:basedOn w:val="728"/>
    <w:pPr>
      <w:jc w:val="both"/>
    </w:pPr>
    <w:rPr>
      <w:b/>
      <w:sz w:val="32"/>
    </w:rPr>
  </w:style>
  <w:style w:type="paragraph" w:styleId="942">
    <w:name w:val="Body Text Indent"/>
    <w:basedOn w:val="728"/>
    <w:pPr>
      <w:ind w:firstLine="720"/>
      <w:jc w:val="both"/>
    </w:pPr>
    <w:rPr>
      <w:sz w:val="28"/>
    </w:rPr>
  </w:style>
  <w:style w:type="paragraph" w:styleId="943">
    <w:name w:val="Body Text"/>
    <w:basedOn w:val="728"/>
    <w:link w:val="962"/>
    <w:uiPriority w:val="99"/>
    <w:pPr>
      <w:jc w:val="both"/>
    </w:pPr>
    <w:rPr>
      <w:sz w:val="28"/>
    </w:rPr>
  </w:style>
  <w:style w:type="paragraph" w:styleId="944">
    <w:name w:val="Body Text Indent 2"/>
    <w:basedOn w:val="728"/>
    <w:pPr>
      <w:ind w:left="283"/>
      <w:spacing w:after="120" w:line="480" w:lineRule="auto"/>
    </w:pPr>
    <w:rPr>
      <w:sz w:val="24"/>
      <w:szCs w:val="24"/>
    </w:rPr>
  </w:style>
  <w:style w:type="character" w:styleId="945">
    <w:name w:val="page number"/>
    <w:basedOn w:val="738"/>
  </w:style>
  <w:style w:type="paragraph" w:styleId="946">
    <w:name w:val="Balloon Text"/>
    <w:basedOn w:val="728"/>
    <w:semiHidden/>
    <w:rPr>
      <w:rFonts w:ascii="Tahoma" w:hAnsi="Tahoma" w:cs="Tahoma"/>
      <w:sz w:val="16"/>
      <w:szCs w:val="16"/>
    </w:rPr>
  </w:style>
  <w:style w:type="paragraph" w:styleId="947" w:customStyle="1">
    <w:name w:val="Знак"/>
    <w:basedOn w:val="728"/>
    <w:pPr>
      <w:spacing w:after="160" w:line="240" w:lineRule="exact"/>
    </w:pPr>
  </w:style>
  <w:style w:type="character" w:styleId="948" w:customStyle="1">
    <w:name w:val="paragraph"/>
    <w:basedOn w:val="738"/>
  </w:style>
  <w:style w:type="paragraph" w:styleId="949">
    <w:name w:val="Body Text Indent 3"/>
    <w:basedOn w:val="728"/>
    <w:link w:val="950"/>
    <w:pPr>
      <w:ind w:left="283"/>
      <w:spacing w:after="120"/>
    </w:pPr>
    <w:rPr>
      <w:sz w:val="16"/>
      <w:szCs w:val="16"/>
    </w:rPr>
  </w:style>
  <w:style w:type="character" w:styleId="950" w:customStyle="1">
    <w:name w:val="Основной текст с отступом 3 Знак"/>
    <w:link w:val="949"/>
    <w:rPr>
      <w:sz w:val="16"/>
      <w:szCs w:val="16"/>
    </w:rPr>
  </w:style>
  <w:style w:type="character" w:styleId="951" w:customStyle="1">
    <w:name w:val="Без интервала Знак"/>
    <w:link w:val="781"/>
    <w:rPr>
      <w:rFonts w:ascii="Calibri" w:hAnsi="Calibri"/>
      <w:sz w:val="22"/>
      <w:szCs w:val="22"/>
      <w:lang w:val="ru-RU" w:eastAsia="ru-RU" w:bidi="ar-SA"/>
    </w:rPr>
  </w:style>
  <w:style w:type="paragraph" w:styleId="952">
    <w:name w:val="Body Text 3"/>
    <w:basedOn w:val="728"/>
    <w:link w:val="953"/>
    <w:pPr>
      <w:spacing w:after="120"/>
    </w:pPr>
    <w:rPr>
      <w:sz w:val="16"/>
      <w:szCs w:val="16"/>
    </w:rPr>
  </w:style>
  <w:style w:type="character" w:styleId="953" w:customStyle="1">
    <w:name w:val="Основной текст 3 Знак"/>
    <w:link w:val="952"/>
    <w:rPr>
      <w:sz w:val="16"/>
      <w:szCs w:val="16"/>
    </w:rPr>
  </w:style>
  <w:style w:type="paragraph" w:styleId="954" w:customStyle="1">
    <w:name w:val="Основной текст 22"/>
    <w:basedOn w:val="728"/>
    <w:pPr>
      <w:jc w:val="both"/>
    </w:pPr>
    <w:rPr>
      <w:sz w:val="32"/>
    </w:rPr>
  </w:style>
  <w:style w:type="paragraph" w:styleId="955" w:customStyle="1">
    <w:name w:val="Обычный3"/>
    <w:rPr>
      <w:sz w:val="28"/>
    </w:rPr>
  </w:style>
  <w:style w:type="character" w:styleId="956" w:customStyle="1">
    <w:name w:val="Заголовок 1 Знак"/>
    <w:link w:val="729"/>
    <w:uiPriority w:val="9"/>
    <w:rPr>
      <w:b/>
      <w:bCs/>
      <w:sz w:val="48"/>
      <w:szCs w:val="48"/>
    </w:rPr>
  </w:style>
  <w:style w:type="character" w:styleId="957" w:customStyle="1">
    <w:name w:val="Заголовок 4 Знак"/>
    <w:link w:val="732"/>
    <w:semiHidden/>
    <w:rPr>
      <w:rFonts w:ascii="Calibri" w:hAnsi="Calibri"/>
      <w:b/>
      <w:bCs/>
      <w:sz w:val="28"/>
      <w:szCs w:val="28"/>
    </w:rPr>
  </w:style>
  <w:style w:type="paragraph" w:styleId="958">
    <w:name w:val="Block Text"/>
    <w:basedOn w:val="728"/>
    <w:pPr>
      <w:ind w:left="-164" w:right="-108"/>
      <w:jc w:val="center"/>
    </w:pPr>
    <w:rPr>
      <w:sz w:val="22"/>
      <w:szCs w:val="22"/>
    </w:rPr>
  </w:style>
  <w:style w:type="character" w:styleId="959" w:customStyle="1">
    <w:name w:val="Нижний колонтитул Знак"/>
    <w:basedOn w:val="738"/>
    <w:link w:val="792"/>
  </w:style>
  <w:style w:type="paragraph" w:styleId="960" w:customStyle="1">
    <w:name w:val="wStandard"/>
    <w:basedOn w:val="728"/>
    <w:pPr>
      <w:widowControl w:val="off"/>
    </w:pPr>
    <w:rPr>
      <w:rFonts w:eastAsia="Lucida Sans Unicode" w:cs="Tahoma"/>
      <w:sz w:val="24"/>
    </w:rPr>
  </w:style>
  <w:style w:type="paragraph" w:styleId="961" w:customStyle="1">
    <w:name w:val="Body Text 21"/>
    <w:basedOn w:val="728"/>
    <w:uiPriority w:val="99"/>
    <w:pPr>
      <w:jc w:val="both"/>
    </w:pPr>
    <w:rPr>
      <w:sz w:val="32"/>
    </w:rPr>
  </w:style>
  <w:style w:type="character" w:styleId="962" w:customStyle="1">
    <w:name w:val="Основной текст Знак"/>
    <w:link w:val="943"/>
    <w:rPr>
      <w:sz w:val="28"/>
    </w:rPr>
  </w:style>
  <w:style w:type="paragraph" w:styleId="963" w:customStyle="1">
    <w:name w:val="Обычный (веб);Знак;Обычный (Web);Обычный (веб)1;Обычный (веб) Знак;Обычный (веб) Знак1;Обычный (веб) Знак Знак;Обычный (веб) Знак2 Знак;Обычный (веб) Знак Знак1 Знак;Обычный (веб) Знак1 Знак Знак1;Обычный (веб) Знак Знак Знак Знак"/>
    <w:basedOn w:val="728"/>
    <w:link w:val="976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character" w:styleId="964" w:customStyle="1">
    <w:name w:val="text"/>
    <w:basedOn w:val="738"/>
  </w:style>
  <w:style w:type="paragraph" w:styleId="965" w:customStyle="1">
    <w:name w:val="1"/>
    <w:basedOn w:val="728"/>
    <w:pPr>
      <w:spacing w:after="160" w:line="240" w:lineRule="exact"/>
    </w:pPr>
  </w:style>
  <w:style w:type="paragraph" w:styleId="966" w:customStyle="1">
    <w:name w:val="Обычный1"/>
    <w:rPr>
      <w:sz w:val="28"/>
    </w:rPr>
  </w:style>
  <w:style w:type="character" w:styleId="967">
    <w:name w:val="annotation reference"/>
    <w:rPr>
      <w:sz w:val="16"/>
      <w:szCs w:val="16"/>
    </w:rPr>
  </w:style>
  <w:style w:type="paragraph" w:styleId="968">
    <w:name w:val="annotation text"/>
    <w:basedOn w:val="728"/>
    <w:link w:val="969"/>
  </w:style>
  <w:style w:type="character" w:styleId="969" w:customStyle="1">
    <w:name w:val="Текст примечания Знак"/>
    <w:basedOn w:val="738"/>
    <w:link w:val="968"/>
  </w:style>
  <w:style w:type="paragraph" w:styleId="970">
    <w:name w:val="annotation subject"/>
    <w:basedOn w:val="968"/>
    <w:next w:val="968"/>
    <w:link w:val="971"/>
    <w:rPr>
      <w:b/>
      <w:bCs/>
    </w:rPr>
  </w:style>
  <w:style w:type="character" w:styleId="971" w:customStyle="1">
    <w:name w:val="Тема примечания Знак"/>
    <w:link w:val="970"/>
    <w:rPr>
      <w:b/>
      <w:bCs/>
    </w:rPr>
  </w:style>
  <w:style w:type="character" w:styleId="972" w:customStyle="1">
    <w:name w:val="Заголовок 5 Знак"/>
    <w:link w:val="733"/>
    <w:semiHidden/>
    <w:rPr>
      <w:rFonts w:ascii="Calibri" w:hAnsi="Calibri"/>
      <w:b/>
      <w:bCs/>
      <w:i/>
      <w:iCs/>
      <w:sz w:val="26"/>
      <w:szCs w:val="26"/>
    </w:rPr>
  </w:style>
  <w:style w:type="character" w:styleId="973" w:customStyle="1">
    <w:name w:val="Верхний колонтитул Знак"/>
    <w:link w:val="790"/>
  </w:style>
  <w:style w:type="paragraph" w:styleId="974" w:customStyle="1">
    <w:name w:val="Standard"/>
    <w:pPr>
      <w:spacing w:after="200" w:line="276" w:lineRule="auto"/>
    </w:pPr>
    <w:rPr>
      <w:rFonts w:ascii="Calibri" w:hAnsi="Calibri" w:eastAsia="SimSun" w:cs="F"/>
      <w:sz w:val="22"/>
      <w:szCs w:val="22"/>
    </w:rPr>
  </w:style>
  <w:style w:type="character" w:styleId="975">
    <w:name w:val="Strong"/>
    <w:uiPriority w:val="22"/>
    <w:qFormat/>
    <w:rPr>
      <w:b/>
      <w:bCs/>
    </w:rPr>
  </w:style>
  <w:style w:type="character" w:styleId="976" w:customStyle="1">
    <w:name w:val="Обычный (веб) Знак2;Знак Знак;Обычный (Web) Знак;Обычный (веб)1 Знак;Обычный (веб) Знак Знак1;Обычный (веб) Знак1 Знак;Обычный (веб) Знак Знак Знак;Обычный (веб) Знак2 Знак Знак;Обычный (веб) Знак Знак1 Знак Знак;Обычный (веб) Знак1 Знак Знак1 Знак"/>
    <w:link w:val="963"/>
    <w:uiPriority w:val="99"/>
    <w:rPr>
      <w:sz w:val="24"/>
      <w:szCs w:val="24"/>
    </w:rPr>
  </w:style>
  <w:style w:type="character" w:styleId="977" w:customStyle="1">
    <w:name w:val="layout"/>
  </w:style>
  <w:style w:type="paragraph" w:styleId="978" w:customStyle="1">
    <w:name w:val="Обычный6"/>
    <w:rPr>
      <w:sz w:val="28"/>
    </w:rPr>
  </w:style>
  <w:style w:type="paragraph" w:styleId="979" w:customStyle="1">
    <w:name w:val="Основной текст 21"/>
    <w:basedOn w:val="728"/>
    <w:pPr>
      <w:jc w:val="both"/>
    </w:pPr>
    <w:rPr>
      <w:sz w:val="32"/>
    </w:rPr>
  </w:style>
  <w:style w:type="character" w:styleId="980" w:customStyle="1">
    <w:name w:val="Заголовок 2 Знак"/>
    <w:link w:val="730"/>
    <w:semiHidden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981" w:customStyle="1">
    <w:name w:val="msonormal_mr_css_attr"/>
    <w:basedOn w:val="728"/>
    <w:pPr>
      <w:spacing w:before="100" w:beforeAutospacing="1" w:after="100" w:afterAutospacing="1"/>
    </w:pPr>
    <w:rPr>
      <w:sz w:val="24"/>
      <w:szCs w:val="24"/>
    </w:rPr>
  </w:style>
  <w:style w:type="paragraph" w:styleId="982" w:customStyle="1">
    <w:name w:val="Основной текст 23"/>
    <w:basedOn w:val="728"/>
    <w:pPr>
      <w:jc w:val="both"/>
    </w:pPr>
    <w:rPr>
      <w:sz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7D9C5-7364-4003-9912-CE8F8D7E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admin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daemon</dc:creator>
  <cp:revision>6</cp:revision>
  <dcterms:created xsi:type="dcterms:W3CDTF">2024-11-06T13:31:00Z</dcterms:created>
  <dcterms:modified xsi:type="dcterms:W3CDTF">2024-11-11T05:25:18Z</dcterms:modified>
  <cp:version>1048576</cp:version>
</cp:coreProperties>
</file>