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40" w:lineRule="auto"/>
        <w:widowControl w:val="off"/>
        <w:rPr>
          <w:rFonts w:ascii="FreeSerif" w:hAnsi="FreeSerif" w:cs="FreeSerif"/>
          <w:b/>
          <w:bCs/>
          <w:color w:val="000000"/>
          <w:sz w:val="36"/>
          <w:szCs w:val="36"/>
        </w:rPr>
      </w:pPr>
      <w:r>
        <w:rPr>
          <w:rFonts w:ascii="FreeSerif" w:hAnsi="FreeSerif" w:eastAsia="FreeSerif" w:cs="FreeSerif"/>
          <w:b/>
          <w:bCs/>
          <w:color w:val="000000"/>
          <w:sz w:val="36"/>
          <w:szCs w:val="36"/>
        </w:rPr>
        <w:t xml:space="preserve">Отчет </w:t>
      </w:r>
      <w:r>
        <w:rPr>
          <w:rFonts w:ascii="FreeSerif" w:hAnsi="FreeSerif" w:cs="FreeSerif"/>
          <w:b/>
          <w:bCs/>
          <w:color w:val="000000"/>
          <w:sz w:val="36"/>
          <w:szCs w:val="36"/>
        </w:rPr>
      </w:r>
    </w:p>
    <w:p>
      <w:pPr>
        <w:contextualSpacing/>
        <w:jc w:val="center"/>
        <w:spacing w:line="240" w:lineRule="auto"/>
        <w:widowControl w:val="off"/>
        <w:rPr>
          <w:rFonts w:ascii="FreeSerif" w:hAnsi="FreeSerif" w:cs="FreeSerif"/>
          <w:b/>
          <w:bCs/>
          <w:color w:val="000000"/>
          <w:sz w:val="36"/>
          <w:szCs w:val="36"/>
        </w:rPr>
      </w:pPr>
      <w:r>
        <w:rPr>
          <w:rFonts w:ascii="FreeSerif" w:hAnsi="FreeSerif" w:eastAsia="FreeSerif" w:cs="FreeSerif"/>
          <w:b/>
          <w:bCs/>
          <w:color w:val="000000"/>
          <w:sz w:val="36"/>
          <w:szCs w:val="36"/>
        </w:rPr>
        <w:t xml:space="preserve">главы Ленинградского муниципального округа </w:t>
      </w:r>
      <w:r>
        <w:rPr>
          <w:rFonts w:ascii="FreeSerif" w:hAnsi="FreeSerif" w:cs="FreeSerif"/>
          <w:b/>
          <w:bCs/>
          <w:color w:val="000000"/>
          <w:sz w:val="36"/>
          <w:szCs w:val="36"/>
        </w:rPr>
      </w:r>
    </w:p>
    <w:p>
      <w:pPr>
        <w:contextualSpacing/>
        <w:jc w:val="center"/>
        <w:spacing w:line="240" w:lineRule="auto"/>
        <w:widowControl w:val="off"/>
        <w:rPr>
          <w:rFonts w:ascii="FreeSerif" w:hAnsi="FreeSerif" w:cs="FreeSerif"/>
          <w:b/>
          <w:bCs/>
          <w:color w:val="000000"/>
          <w:sz w:val="36"/>
          <w:szCs w:val="36"/>
        </w:rPr>
      </w:pPr>
      <w:r>
        <w:rPr>
          <w:rFonts w:ascii="FreeSerif" w:hAnsi="FreeSerif" w:eastAsia="FreeSerif" w:cs="FreeSerif"/>
          <w:b/>
          <w:bCs/>
          <w:color w:val="000000"/>
          <w:sz w:val="36"/>
          <w:szCs w:val="36"/>
        </w:rPr>
        <w:t xml:space="preserve">о результатах своей деятельности и деятельности администрации Ленинградского муниципального округа за 2025 год</w:t>
      </w:r>
      <w:r>
        <w:rPr>
          <w:rFonts w:ascii="FreeSerif" w:hAnsi="FreeSerif" w:cs="FreeSerif"/>
          <w:b/>
          <w:bCs/>
          <w:color w:val="000000"/>
          <w:sz w:val="36"/>
          <w:szCs w:val="36"/>
        </w:rPr>
      </w:r>
    </w:p>
    <w:p>
      <w:pPr>
        <w:contextualSpacing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708" w:firstLine="0"/>
        <w:jc w:val="center"/>
        <w:spacing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Уважаемые члены президиума и депутаты окружного Совета! Уважаемые коллеги и присутствующие!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соответствии с Уставом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представляю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Вам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отчет «О результатах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деятельности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главы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администрации за 2025 год».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Этот год стал для нас периодом особых вызовов. Мы отра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ботали первый год в статусе муниципального округа, что потребовало полной перестройки управленческих процессов. Несмотря на объективные трудности, нам удалось не только выполнить все ключевые социальные обязательства, но и добиться конкретных результатов.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Самые значимые показатели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– это не только цифры в отчетах. Это устойчивость и единство нашего об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щества, особенно в то время, когда наши земляки защищают интересы страны с оружием в руках. Мы обязаны создать надежный тыл для наших бойцов и окружить постоянной заботой их семьи. Озвучу конкретные шаги и меры, которые мы предпринимаем в этом направлении.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становлен внеочередной и первоочередной порядок приема детей в детские сады и школы.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147 детей из семей участников  СВО освобождены от родительской платы за присмотр и уход в детских садах.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Бесплатное горячее питание предоставляется двумстам учащимся школ.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Бесплатные кружки и спортивные секции посещают 73 ребенка.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Дети участников специальной военной операции обеспечиваются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необходимым спортивным инвентарем и специализированным оборудованием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для занятий физической культурой и спортом бесплатно.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Решением Совета Ленинградского округа установлены льготы, освобождающие от налогообложения на имущество и на земельные участки участников СВО, мобилизованных и их близких родственников на период прохождения ими службы.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Этой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мерой поддержки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воспользовались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351 человек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Кроме того, системно р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ешаются все бытовые вопросы семей участников СВО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На постоянной основе, благодаря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общим усилиям, организована отправка гуманитарной помощи нашим бойцам. Выражаю благодарность предприятиям, организациям, учреждениям, казакам, волонтёрам и всем неравнодушным жителям Ленинградского округа, кто активно участвует в сборе всего необходимого.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Параллельно в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едётся плановая работа по предоставлению всех установленных региональных мер поддержки. Кроме того, на уровне нашего округа, депутатами было принято решение о единовременной дополнительной выплате для военнослужащих по контракту в размере 500 тысяч рублей.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Выражаю искреннюю благодарность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нашим землякам-воинам, всем, кто сейчас с оружием в руках защищает свободу и независимость Родины. Сотни ленинградцев проявляют мужество и героизм на линии боевого соприкосновения. Низкий вам поклон за ваш подвиг.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Отдельное спасибо семьям наших защитников за их невероятную стойкость, понимание и терпение.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Специальная военная операция, к глубокому сожалению, не обходится без невосполнимых утрат.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От всей души выражаю искренние соболезнования родителям, жёнам, детям, всем родным и близким погибших героев. Их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подвиг и жертва навсегда останутся в нашей памяти.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Предлагаю почтить светлую память павших защитников Отечества минутой молчания.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Прошу садиться.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 непростое для России время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поддержка военнослужащих и их семей имеет особое значение. Наша сплоченность — это реальная сила, которая дает опору тем, кто защищает страну.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 знак признания этой общенародной солидарности и героизма российских воинов 2026 год Указом Президента объявлен Годом единства. Сейчас, как никогда, мы должны сплотиться вокруг национального лидера и разделить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ответственность за судьбу Отечества.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Уважаемый президиум, депутаты и присутствующие, с вашего позволения перейду к цифрам.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непростных условиях 2025 года  мы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достигли следующих показателей.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Общий объем бе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звозмездных поступлений составил 2 млрд 165 млн рублей – это более 62% доходов бюджета округа. Наибольший удельный вес безвозмездных поступлений приходится на субвенции на выполнение переданных полномочий сбъектов РФ – их сумма равна 1 млрд 338 млн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Социальная направленность бюджета сохраняется. На социально-культурную сферу направлено 78% расходов бюджета, ч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то составило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 млрд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776 млн рублей. На оплату труда отдельных категорий работников социальной сферы  направлено 1 млрд 796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это почти 50% общего объема всего бюджета. А в сравнении с предыдущим периодом объем этих расходов вырос более чем на 500 млн рублей. Сохранены льготы по оплате коммунальных услуг специалистам, работающим в сельской местности, на эти цели из бюджета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направлено 28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млн.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1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Комплексное решение экономических и социальных вопросов развития округа, как и в предыдущие годы, осуществлялось через механизм реализации муниципальных программ.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1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За счет средств бюджета реализуются мероприятия 24 муниципальных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программы на сумму 2 млрд 865 млн рублей,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что составляет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81%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общих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расходов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за год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Приоритетное место среди принятых муниципальных программ занимают программы в социально – культурной сфере.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1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 реализацию мероприятий в рамках муниципальной программы «Развитие образовани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я» направлено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 млрд 955 млн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что почти на 400 млн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выше показателя 2024 года.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1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При преобразовании района в округ в бюджете появились новые расходы. На благоустройство направлено 153 млн, более 100 из которых на завершающий этап реконструкции набережной.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1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Исполнение бюджета по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расходам составляет 3 млрд 547 млн рублей или 96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% от годового назначения.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Важнейшей составляющей устойчивого развития экономики являются представители малого и среднего предпринимательства.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Их численность, включая «самозанятых» и персонал предприятий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составила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10 тысяч 507 человек -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112 % к уровню аналогичного периода 2024 года. У нас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 тысячи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197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субъектов малого и среднего предпринимательства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 тысяча 974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индивидуальных предпринимателя.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2025 году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статус «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самозанятого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» зафиксировали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5 тысяч 649 человек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применя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ющих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налог на профессиональный доход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то составляет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129 %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 уровню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аналогичного периода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2024 года.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Малому бизнесу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выдано целевых кредитов на общую сумму 2 млрд 252 млн руб.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 также субъектами МСП Ленинградского округа получены финансовые меры поддержки от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«Федеральной корпорации по развитию малого и среднего предпринимательства» на общую сумму 14 млн  575 тысяч руб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«Фонда микрофинансирования Краснодарского края» на общую сумму 48 млн руб.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Инвестиционная активность – главный барометр состояния экономики.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Объем инвестиций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 итогам 2025 года в основной капитал по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крупным и средним предприятиям составил более 2 млрд руб.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Основной удельный вес в структуре инвестиций – 90% занимают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вестиции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предприятий агропромышленного комплекса, которые являются фундаментом экономики округа.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течение отчетного года реализ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овывались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следующи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инвестиционны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проект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- строительство маслоэкстракционного цеха ООО «Уманские масла», объем инвестиций 25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млн.руб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- производство продуктов питания ООО «Готовая еда», объем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инвестиций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60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млн.руб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- организация швейного производства ООО «Глория-Альянс», объем инвес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тиций 40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млн.руб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Работа по привлечению инвестиций в округ продолжается.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2026 году запланированы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: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1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модернизация производства ЗАО «Сыродельный комбинат «Ленинградский» на сумму 257 млн руб.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2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расширение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модернизация производства металлической крышки для консервирования ООО «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Маранде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» на сумму 50 млн руб.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расширение швейного производства ООО  «Глория – Альянс» в объеме 41 млн руб.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увеличение объемов производства продуктов питания ООО «ГОТОВАЯ ЕДА»на сумму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0 млн руб;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4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«Производство промышленных газов» ООО «Тринити» в объеме 500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млн. руб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5"/>
        </w:numPr>
        <w:contextualSpacing/>
        <w:jc w:val="both"/>
        <w:spacing w:after="0" w:line="240" w:lineRule="auto"/>
        <w:widowControl/>
        <w:tabs>
          <w:tab w:val="left" w:pos="709" w:leader="none"/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строительство объекта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«Комплекс по обращению с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отходами»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с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общим объем инвестиций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более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4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млрд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руб., по результатам реализации которого  планируется создание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более 300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новых рабочих мест.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Для перехода к экономике,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основанной на знаниях и эффективности действует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фед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еральный проект «Производительность труда»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Он фокусируется на изменении управленческих подходов, оптимизации внутренних процессов и предлагает методическую и консультационную поддержку по внедрению таких инструментов, как бережливое производство.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округе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10 предприятий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являются участниками этого проекта «Производительность труда», до конца года добавится еще 2.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Как я уже отметил выше, экономика традиционно опирается на сельское хозяйство.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К сожалению, в 2025 году из-за почвенной засухи был нанесен существенный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ущерб посевам, что стало причиной резкого снижения урожайности. В результате фактические показатели в сельском хозяйстве за год оказались гораздо ниже плановых.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Произведено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продукции сельского хозяйства на сумму 11,3 млрд. рублей с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ндексом производства к уровню прошлого года 66%, в том числе в растениеводстве этот показатель оценивается на уровне – 57%.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Несмотря на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недобор урожая, обеспечен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рост среднемесячной заработной платы работников агропромышленного комплекса, которая составила 74 тысячи 271  рубль, что на 5% выше уровня 2024 года.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Способствует развитию аграрного производства государст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венная поддержка.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нградские аграрии получили 112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млн. рубл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ей краевых субсидий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 системе льготного кредитования в АПК привлечено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более 9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млрд. кредитных ресурсов.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Благодаря сотрудничеству с учеными Кубанского государственного аграрного университета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несмотря на крайне сложные погодные условия,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удалось получить 191 тысячу тонн зерна,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209 тысяч тонн сахарной свеклы,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9 с половиной тысяч тонн подсолнечника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18 с половиной тысяч тонн плодов.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Постоянно ведется обновление парка сельскохозяйственных машин. В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приоритете техника российского производст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ва. На приобретение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техники направлено 147 млн.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округе 8 сельскохоз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яйственных организаций ведут профессиональную деятельность по производству семян сортов озимой пшеницы, озимого ячменя, гороха посевного и овощного. Производства этих семян достаточно для планомерного сортообновления в отрасли растениеводства.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 w:val="off"/>
        <w:tabs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хозяйствах насчитывается 8 с половиной тысяч голов крупного рогатого скота, в том числе 3 тысячи 252 головы коров. Содержится 600 тысяч голов птицы.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 w:val="off"/>
        <w:tabs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       В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хозяйствах всех категорий  произведено более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31 тысячи тонн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молока, около 14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 тысяч тонн мяса скота и птицы в живом весе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и почти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46 млн. штук яиц.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 w:val="off"/>
        <w:tabs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 рынке товарной аквакультуры действуют 27 хозяйствующих субъектов, которые для выращивания товарной рыбы использовали 793 гектара водной глади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В водоемы запустили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тонну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рыбопосадочного материала. Выращено 221 тонна рыбной продукции.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firstLine="850"/>
        <w:jc w:val="both"/>
        <w:spacing w:line="240" w:lineRule="auto"/>
        <w:widowControl w:val="off"/>
        <w:tabs>
          <w:tab w:val="left" w:pos="851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Переработка сельхозпродукции является стратегически значимым для экономики направлением.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За  2025 г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перерабатываю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щие предприятия произвели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80 тысяч тонн сахара,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61 тысячу тонн традиционной молочной продукции,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572 тонны мягких сыров,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14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тысяч тонн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растительного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масла,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 тысячи тонн хлебобулочных изделий,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20 тысяч тонн муки и крупы.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2026 году планируем нарастить объем производства сельхозпродукции до 15 млрд. рублей, обеспечив рост производства на 28%.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Положительная динамика будет обеспечена ростом производственных показателей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растениеводстве и животноводстве.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 целью минимизации влияния такого опасного природного явления, как почвенная засуха, хотим расширить площади орошаемых земель. План –  475 га.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А всего до 2030 года планируем иметь 2 тысячи гектар орошаемых земель.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850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Сфера строительства служит фундаментом и двигателем комплексного развития территории.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2025 году на строительство объектов и капитальные ремонты в округе направлено более 626 млн рублей, что на 126 миллионов больше, чем в 2024.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Финансирование капитального и текущег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 ремонта в приоритетном порядке ориентировано на образовательные учреждения. Это позволяет выполнять поручения Губернатора Кубани Вениамина Ивановича Кондратьева и обеспечивать безопасность, комфорт и современные условия обучения в школах и детских садах.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Мы реализовываем два масштабных проекта – это капитальные ремонты в школе №3 и школе №6 по национальному проекту «Молодежь и дети» и краевой программе «Развитие образования». Общий объем финансирования – более 220 млн рублей. На с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егодняшний день ремонт школы №6 полностью завершен, в школе №3 по вине подрядной организации ремонт еще продолжается, но уверен, что будет завершен в кратчайшие сроки. Обе школы должны открыть свои двери для учеников и учителей до 1 сентября текущего года.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Пос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тупательно двигаемся по созданию комфортных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условий проживания, обустройству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общественных территорий, при поддержке и участии жителей округа.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станице Ленинградской появился новый объект для гордости. Это благоустроенная набережная.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Масштабные работы провели по нацпроекту «Инфраструктура для жизни».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На территории более чем в 98 тысяч квадратных метров уложили новые пешеходные дорожки, создали зоны активного отдыха: спортивные и детские площадки с тренажерами и безопасным покрытием. В целом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преображения кардинальные.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Колоссальный объем работ выполнен, колоссальная стоимость. Более 220 млн рублей ушло на то, чтобы эту территорию благоустроить. Там не было ничего, а сейчас – это комфортная зона отдыха для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жителей и гостей округа.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Уделяем внимание спорту,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ведь без него не будет здо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рового и сильного поколения. Понимаем, что развитие массового и профессионального спорта начинается с инфраструктуры. Чтобы дети и взрослые могли тренироваться с удовольствием и без риска, необходимы многофункциональные площадки и новые спортивные объекты.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В рамках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государственной программы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Краснодарского края «Развитие физической культуры и спорта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» построили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shd w:val="clear" w:color="auto" w:fill="fafafa"/>
        </w:rPr>
        <w:t xml:space="preserve">многофункциональную спортивную площадку в хуторе Бел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ом. В станице Крыловской построили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модульный спортивный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зал. Общий объем финансирования этих объектов – более 52 млн рублей. 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Продолжаем капитально ремонтировать центральный стадион в станице Ленинградской. Первый этап уже завершен, перешли ко второму.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Масштабная реконструкция стала возможной благодаря вниманию Губернатора Кубани.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Весной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строители приступят к посеву газона, укладке беговых дорожек, оборудованию трибун, внутренней отделке помещений и благоустройству. По всему периметру стадиона обустроят тропу здоровья для любителей ходьбы. Общая площадь строительной площадки составляет 16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432 квадратных метра. Стоимость проекта – 140 млн рублей. Завершим работы до конца текущего года.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По поручению Губернатора завершен капитальный ремонт дома культуры в станице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Новоплатнировской.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Из краевого бюджета выделили 37 млн рублей на преображение этого важного и нужного людям объекта.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Ремонт разделили на два этапа. Сначала отремонтировали кровлю, заменили оконные и дверные блоки, систему отопления. Затем приступили к общестроительным работам. Это уже пятый ДК в округе, который капитально отремонтирован за последние 5 лет.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Капитально отремонтировали кровлю главного культурного учреждения - «Центра творчества и искусства», где мы сейчас находимся, на общую сумму более 21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 млн рублей. 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Текущие ремонты и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обновление материально-технической базы проведены в 10 учреждениях культуры за счёт участия в краевых и федеральных программах.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Есть в округе зона непрерывного внимания и максимальной ответственности – это сфера жилищно-коммунального хозяйства.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Здесь традиционного много проблем и вопросов. Но мы стараемся их решать. Для того, чтобы работа в данном направлении была эффективной создали два муниципальных предприятия - это «Центр комплексного содержания территорий» и «Водоканал».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Их ключевое отличие от частных подрядчиков в том, что администрация округа имеет над ними прямой контроль и может с них полноценно спрашивать за результаты работы.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На «Центр» возложены задачи по содержанию дорог, уборке общественных территорий, обслуживанию зеленых зон, освещению и другим коммунальным работам.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«Водоканал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» отвечает за бесперебойное водоснабжение и водоотведение, за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 ликвидацию аварий.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Отказ от услуг дорогостоящих сторонних подрядчиков в пользу собственных муниципальных предприятий позволил перенаправить бюджетные средства на развитие материально - технической базы учреждений. В планах – дальнейшее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наращивание объемов работ, а также обновление парка специализированной техники.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2025 году на содержание и ремонт улично-дорожной сети израсходовали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более 50 млн. рублей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– это ремонт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и оплата уличного освещения,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приобретение дорожных знаков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, обустройство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 искусственных дорожных неровностей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нанесение разметки,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ямочный ремонт и так далее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Прогрейдировали 35 км дорог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. В этом году в рамках муниципальной программы увеличим финансирование почти в 2 раза и направим на эти цели 95 млн. 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поручению Губернатора Краснодарского края увеличиваем протяженность освещенных улиц. В 2025 году восстановили и отремонтировали 5,4 км уличного освещения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  <w:u w:val="none"/>
        </w:rPr>
        <w:t xml:space="preserve">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Работы выполнены в ст. Ленинградской,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ст. Новоплатнировской и в поселке Бичевом, где полностью отсутствовала линия уличного освещения. Только 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оплату электрической энергии ежегодно расходуется более 24 млн.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Не могу не сказать о важном для поселка Сахарного завода проекте — строительстве новой подводящей теплотрассы к котельной.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Работы начались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 2023 году, и их планировали завершить в декабре 2024-го. Однако подрядная организация не справилась со своими обязательствами, допустив серьезные нарушения. В результате мы были вынуждены в одностороннем порядке расторгнуть с ними контракт. В 2025 году,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решив главный вопрос — обеспечив финансирование для завершения строительства за счет средств местного бюджета, в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се оставшиеся работы разбили на несколько этапов, чтобы вести строительство максимально организованно и прозрачно. Большая часть работ уже выполнена новой подрядной организацией и как только позволит погода они возобновят работы.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Сейчас ключевая задача — в кратчайшие сроки завершить строительство.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Мы держим этот вопрос на особом контроле. Спасибо жителям за понимание и терпение. Обязательно, доведем этот важный проект до конца. После завершения работ в планах заняться благоустройством поселка Сахарного завода.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округе разработана и утверждена муниципальная программа по обращению с</w:t>
      </w:r>
      <w:r>
        <w:rPr>
          <w:rFonts w:ascii="FreeSerif" w:hAnsi="FreeSerif" w:eastAsia="FreeSerif" w:cs="FreeSerif"/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твердыми коммунальными отходами.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Общее количество площадок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накопления ТКО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округе -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873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 них обустроены 275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шт.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За прошедший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год произведено обустройство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46 площадок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акупили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установили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100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контейнеров. Региональный оператор также занимается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модернизацией системы сбора отходов и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безвозмездно передал нам 140 новых контейнерных баков. Их расстановка начнётся после определения всех точек размещения.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 новому начала работать Административная комиссия,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главная цель которой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– мотивировать граждан добросовестно исполнять требования закона и соблюдать правила содержания придомовых территорий. 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2025 году ленинградцам выдано 1877 уведомлений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 устранении административного правонарушения.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В основном - это покос сорной растительности,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самовольное складирование стройматериалов, строительного мусора, металлолома. Работу в этом направлении продолжим. Порядок на улицах – это результат общего дела, где важна роль и администрации, и каждого жителя.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Важнейшим условием повышения качества жизни населения является улучшение жилищных условий.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Проводим активную п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олитику по обеспечению жильём граждан, относящихся к категории детей-сирот и детей, оставшихся без попечения родителей.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2025 году на указанные цели направлено почти 47 млн рублей. Квартиры получили 15 человек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Еще 7 семей улучшили свои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жилищные условия в ра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мках краевых и федеральных программ. Сумма выплат составила 13 с половиной млн рублей.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Затронув вопросы социальной сферы, нельзя не акцентировать внимание на вопросах р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азвития образования. Это наша стратегическая задача, в центре которой – безопасные и современные условия для обучения и воспитания подрастающего поколения.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Ленинг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радском округе 48 образовательных учреждений. 750 сотрудников, 6014 школьников и 1959 дошкольников. 7712 детей посещают учреждения дополнительного образования. Обеспеченность дошкольным образованием – 100%, у нас отсутствует очередь. В детских садах более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600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свободных мест.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Бюджет отрасли в 2025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году составил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 млрд 782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млн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Сюда входит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выплата заработной платы 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(1 млрд 262 млн)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100% обеспеченность охраны образовательных организаций 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(37 млн)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развитие инфраструктуры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материальные затраты, коммунальные услуги, налоги, проведение медицинских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осмотров, организация питания детей 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(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483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 </w:t>
      </w:r>
      <w:r>
        <w:rPr>
          <w:rFonts w:ascii="FreeSerif" w:hAnsi="FreeSerif" w:eastAsia="FreeSerif" w:cs="FreeSerif"/>
          <w:b w:val="0"/>
          <w:bCs w:val="0"/>
          <w:i/>
          <w:color w:val="000000"/>
          <w:sz w:val="28"/>
          <w:szCs w:val="28"/>
          <w:u w:val="single"/>
        </w:rPr>
        <w:t xml:space="preserve">млн)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2025 - ый год принес отрасли образования 100 побед в фестивалях и конкурсах различных уровней.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От уровня профессионализма педагогических кадров напрямую завис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ит качество образования. У нас стабильно положительная динамика сдачи выпускниками единого государственного экзамена по русскому языку и математике, химии и биологии, превышающая показатели общероссийского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среднекраевого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уровня.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Казачество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занимает важную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историческую и культурную роль в рамках современного вектора на возрождение национального самосознания и патриотизма. Именно в детском возрасте необходимо развивать интерес к своему наро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ду, его культуре, истории, зарождать в сознании чувство любви к Родине, принадлежности к великому народу.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 сегодняшний день 45% учеников округа обучаются в классах казачьей направленности. У нас 5 детских садов и 4 школы с региональным статусом «казачья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образовательная организация». 156 классов казачьей направленности, в которых обучаются 2525 детей и 27 групп в детских садах, где воспитываются 452 дошкольника. Эту работу будем продолжать совместно с казаками Уманского районного казачьего общества.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рамках реализации патриотического воспитания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успешно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продолжает свою работу Центр ЮНАРМИИ. В шести школах действуют юнармейские отряды. Численность ребят, вступающих в ряды ЮНАРМИИ, постоянно увеличивается и сейчас их 249 участников.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  <w:shd w:val="clear" w:color="auto" w:fill="ffd821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Рука об руку с отраслью образования развивается и культура округа. В 2025 году мы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продолжили системную поддержку учреждений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творческих коллективов.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Последовательно укрепляем и развиваем материально – техническую базу, повышаем качество и разнообразие культурных услуг для жителей.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Консолидированный бюджет отрасли в отчетном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году составил более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324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миллионов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shd w:val="clear" w:color="auto" w:fill="ffd821"/>
        </w:rPr>
      </w:r>
    </w:p>
    <w:p>
      <w:pPr>
        <w:contextualSpacing/>
        <w:ind w:left="0" w:firstLine="850"/>
        <w:jc w:val="both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Проведено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4500 мероприятий,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из них 3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8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0 - на платной основе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Наши коллективы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приняли участие в 164 конкурсах и фестивалях различного уровня, по результатам которых призовые места получены в 23-х международных, 45 всероссийских и 62-х краевых фестивалях.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Особое внимание заслуживает цере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мониальный отряд «Честь имею», завоевавший Гран-при X юбилейного конкурса «Сыны и Дочери Отечества», проходившего в Москве. Высокого признания также был удостоен образцовый ансамбль танца «Золотой Колосок», ставший серебряным призёром данного мероприятия.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Яр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ким достижением стало участие народного ансамбля танца «Родная Сторонушка», награждённого дипломом лауреата III степени, и образцового ансамбля танца «Уманцы»,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получившего диплом I степени в IV Всероссийском фестивале хореографического искусства «Пересвет»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</w:r>
    </w:p>
    <w:p>
      <w:pPr>
        <w:contextualSpacing/>
        <w:ind w:left="0" w:right="-56" w:firstLine="708"/>
        <w:jc w:val="both"/>
        <w:spacing w:after="0" w:line="240" w:lineRule="auto"/>
        <w:widowControl w:val="off"/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Солистка дворца культуры станицы Крыловской Наталья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Читинашвили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, признана лауреатом I степени открытого Всероссийского музыкального конкурса молодых исполнителей «Во имя жизни», посвящённого Году защитника Отечества. </w:t>
      </w:r>
      <w:r>
        <w:rPr>
          <w:rFonts w:ascii="FreeSerif" w:hAnsi="FreeSerif" w:eastAsia="FreeSerif" w:cs="FreeSerif"/>
          <w:b w:val="0"/>
          <w:bCs w:val="0"/>
          <w:i w:val="0"/>
          <w:color w:val="000000"/>
          <w:sz w:val="28"/>
          <w:szCs w:val="28"/>
        </w:rPr>
        <w:t xml:space="preserve">Эти победы подтверждают высокий уровень мастерства и профессионализма сотрудников отрасли культура, вдохновляя коллективы и артистов на новые творческие свершения.</w:t>
      </w:r>
      <w:r>
        <w:rPr>
          <w:rFonts w:ascii="FreeSerif" w:hAnsi="FreeSerif" w:cs="FreeSerif"/>
          <w:b w:val="0"/>
          <w:bCs w:val="0"/>
          <w:i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Сохранена численность обучающихся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в учреждениях дополнительного образования.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В школах искусств -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8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93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учащихся.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6 выпускников школ в нынешнем году продолжили свое обучение в профильных учреждениях среднего и высшего образования.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рамках реализации государственной программы Краснодарского края «Развитие культуры» детская музыкальная школа ст. Ленинградской получила новый автобус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общей стоимостью почти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17 млн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Работаем и над внутренним содержанием сельских домов культуры.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Приобретены кресла для зрительного зала дома культуры посёлка Первомайского,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одежда сцены для зрительного зала дворца культуры посёлка Бичевого 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дома культуры посёлка Образцового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За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счёт муниципальных средств в здании «Центра творчества и искусства» установлена система охлаждения почти на 3 млн рублей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Учреждения культуры - активные участники регионального проекта «Культура для школьников» и президентской программы «Пушкинская карта». К программе подключены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учреждений культуры, организовано и проведено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157 мероприятий, реализовано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11 тысяч 800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билетов на сумму 1 млн 609 тыс. рублей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Самым активным участником программы является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кинотеатр «Горн».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рамках программы кинотеатр в 202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году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посетили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3 тысячи 550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зрителей в возрасте от 14 до 21 года. Сумма средств, полученных кинотеатром, составила более 1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млн рублей.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Эффективная работа органов власти в современном мире требует опоры на молодежь – на тех, кто полон энергии и обладает наибольшим потенциалом.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Молодежная политика в Ленинградском округе в 2025 году реализовывалась комплексно по ключевым направлениям: развитие добровольчества, организация досуга, патриотическое воспитание, профилактика девиаций и системная поддержка талантливой молодежи. 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Официально открыт и функционирует центр общественного развития и поддержки добровольческих, благотворительных и гражданских инициатив.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Молодежным центром собрано и передано в региональный штаб #МыВместе свыше 10 тонн гуманитарной помощи для участников СВО и жителей пострадавших регионов.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Численность зарегистрированных на платформе Dobro.ru волонтеров увеличилась на 170 человек. Теперь волонтеров в округе - 2 700.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Успешно проведены традиционные мероприятия: молодежный православный велопробег, квест-игры, соревнования по ориентированию, работа детских дворовых площадок.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Есть положительная динамика вовлеченности молодежи. В отчетном периоде в мероприятиях приняли участие 12 320 человек.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Округ стал зональным центром Северной зоны края для празднования Дня молодежи России.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27 студентов Ленинградского социально – педагогического и технического колледжей стали стипендиатами специальной молодежной стипендии администрации Краснодарского края, учрежденной Губернатором Вениамином Ивановичем Кондратьевым. 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Укрепление здоровья нации через спорт и физическую культуру – стратегический курс, которого мы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придерживаемся.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 Ленинградском округе растет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численность тех, кто активно занимается физ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ической культурой и спортом – эта цифра достигла почти 36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тысяч человек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. В четырех спортивных школах занимаются более 2000 детей.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течение года ленинградские спортсмены выполнили 1 тысячу 305 массовых разрядов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у нас 13 кандидатов в мастера спорта, 7 человек выполнили 1 спортивный разряд.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Самые знаковые достиж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ения в плавании, легкой атлетике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городошном и гиревом спорте. Более 60 зна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чимых побед на соревнованиях краевого, всероссийского и международного уровней. Провели более 200 спортивно – массовых мероприятий.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ab/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азвиваем адаптивную физическую культуру. На постоянной основе проводятся спортивные мероприятия для людей с ограничениями по здоровью.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Открылись специальные отделения по адаптивной физической культуре в спортивных школах «Виктория» и «Лидер».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Регулярно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проводим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спортивные мероприятия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с несовершеннолетними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состоящими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на различных видах учета.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 краевых соревнованиях «Спорт против наркотиков» наша команда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(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дети 200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9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-2010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.р.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)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финальных соревнованиях 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ошла в пятерку сильнейших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Формирование открытых и понятных каналов связи с населением было и остается одной из центральных задач в нашей работе.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left="0" w:firstLine="850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 течение 2025 года в администрацию округа поступило 893 письменных обращения.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Количество обращений, высказанных гражданами на личных приемах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 отчетном периоде составило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284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обращени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, что на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13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% меньше показателя прошлого года.</w:t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Тематика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письменных и устных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обращений за 12 месяцев 202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5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года следующая: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вопросы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благоустройств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54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вопросы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жилищно-коммунального хозяйства 20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градостроительные и земельные вопросы 8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социальные вопросы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8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вопросы экологии и сельского хозяйства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вопросы экономики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1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конфликты на бытовой почве и гражданские споры 2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%;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иные вопросы – 5%.</w:t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 целях наиболее полного и объективного рассмотрения обращений граждан, недопущения формального подхода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каждое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второе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обращение рассмотрено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 комиссионно, с выездом на место проживания заявителя, с участием заявителя. За отчетный период количество обращений, рассмотренных, комиссионно, с выездом на место  составило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более 5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0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%.</w:t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Наши надежные помощники в решении любых проблемных вопросов – это органы территориального общественного самоуправления.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У нас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75 ТОС, 24 из них имеют статус юридического лица.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left="0" w:firstLine="850"/>
        <w:spacing w:line="240" w:lineRule="auto"/>
        <w:widowControl w:val="off"/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Ежегодно органы ТОС являются участниками краевого конкурса «Лучший орган территориального общественного самоуправления». В 2025 году победителями краевого конкурса признаны квартальные комите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ты поселка Первомайского, поселка Образцового и хутора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Краснострелецкого.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Традиционной наградой стали дотации из краевого бюджета на общую сумму 2 млн рублей. Средства направлены на развитие территорий.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Участники, занявшие 4, 5 и 6 места, также получили достойное поощрение из муниципального бюджета – это 900 тысяч рублей.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Кардинально изменился подход к мотивации наших активистов. Теперь ежемесячно все председатели ТОС получают стабильную компенсационную выплату в размере 3 ты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сяч рублей.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8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8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Ленинградский округ стабильно входит в пятерку лучших муниципалитетов Краснодарского края по количеству подаваемых заяво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к на участие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во всевозможных грантовых конкурсах.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Это говорит о высоком уровне вовлеченности наших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ТОСовцев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, их профессионализме в подготовке проектных предложений и стремлении максимально использовать все доступные возможности для развития своей территории.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В 2025 году в конкурсе «Гранты Губернатора Кубани» шесть общественных организаций ТОС стали победителями и получили поддержку на реализацию проектов более 5 млн рублей.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Сделать жителей настоящими соавторами изменений в своем населенном пункте помогает инициативное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бюджетирование. Этот механизм дает людям возможность решать конкретные проблемы своей территории: от ремонта двора до установки новой детской площадки. И здесь ключевую роль играют ТОСы — они чаще всего выступают с инициативами и мобилизуют соседей.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По итогам краевого конкурса, утвержденного постановлением Губернатора Краснодарского края, мы реализовали следующие проекты общейстоимостью более 20 млн рублей: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6"/>
        </w:numPr>
        <w:contextualSpacing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Гордость в именах -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установка доски почета с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благоустройством общественной территории в хуторе Белом»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7"/>
        </w:numPr>
        <w:contextualSpacing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«Благоустройство общественной территории по ул. Ленина» в поселке Образцовом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numPr>
          <w:ilvl w:val="0"/>
          <w:numId w:val="7"/>
        </w:numPr>
        <w:contextualSpacing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Благоустройство общественной территории и менмориал «Сыновьям Великой Отчизны» в станице Ленинградской, посвященный участникам специальной военной операции.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Отдельно скажу о работе по обеспечению безопасности наших жителей.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Я благодарю всех сотрудников силовых ведомств, судебной и надзорных систем, правоохранительных органов за конструктивное взаимодействие и высокий профессионализм. Именно слаженная совместная р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абота служит надёжной основой для защиты и безопасности наших жителей. Уважаемые коллеги, во многом благодаря вашей работе, в 2025 году общественно-политическая обстановка на нашей территории сохраняла стабильность, оставаясь управляемой и контролируемой.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Для нас, как для органов власти, вопросы обеспечения безопасности и правопорядка имеют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первостепенную важность. Ключевыми участниками этой работы, особенно при проведении массовых общественно-политических, спортивных и культурных мероприятий, неизменно выступают сотрудники полиции, Росгвардии и казаки Уманского районного казачьего общества.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firstLine="850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Со своей ст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ороны мы продолжаем системную работу для снижения количества правонарушений в общественных местах. Одно из важных направлений в этой деятельности — развитие и модернизация системы видеонаблюдения, что является значимым вкладом в профилактику и обеспечение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правопорядка.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На сегодняшний день к системе АПК «Безопасный город» подключено 113 камер, что положительно сказыв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ается как на профилактике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уличной преступности, так и на раскрытии совершаемых преступлений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white"/>
        </w:rPr>
      </w:r>
    </w:p>
    <w:p>
      <w:pPr>
        <w:contextualSpacing/>
        <w:ind w:left="120" w:right="120" w:hanging="120"/>
        <w:jc w:val="center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Уважаемые члены президиума, депутаты, коллеги и земляки!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right="120" w:firstLine="850"/>
        <w:jc w:val="both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 отчете я отразил основные направления деятельности администрации округа, ознакомил с ключевыми задачами, которые решались в прошедшем году. Нам было непросто, но мы чувствовали поддержку краевой власти и наших жителей. Позвольте выразить 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искренние слова признательности Губернатору Краснодарского края Вениамину Ивановичу Кондратьеву, предс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едателю законодательного собрания края Юрию Александровичу Бурлачко, администрации Краснодарского края, депутатам Государственной Думы Российской Федерации и Законодательного Собрания Краснодарского края, за оказываемую помощь в развитии нашей территории. 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right="120" w:firstLine="850"/>
        <w:jc w:val="both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Выражаю благодарность за взаимодействие и конструктивную работу руководителям федеральных, краевых структур, правоохранительным органам, представителям политических партий, общественных и религиозных организаций.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right="120" w:firstLine="850"/>
        <w:jc w:val="both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Уважаемые земляки! Сегодня Ленинградский округ живет и развивается благодаря труду каждого из вас в различных областях и сферах жизни, благодаря поддержке общественности и всех жителей.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0" w:right="120" w:firstLine="850"/>
        <w:jc w:val="both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Впереди нас ждет масштабная и</w:t>
      </w: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 серьезная работа. Достойный результат возможен, только когда мы вместе. Вместе делаем нашу землю комфортнее и благополучнее. Вместе созидаем и радуемся успехам. Вместе и сообща будем делать все от нас возможное для процветания нашего округа, края, России!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p>
      <w:pPr>
        <w:contextualSpacing/>
        <w:ind w:left="120" w:right="120" w:hanging="120"/>
        <w:jc w:val="center"/>
        <w:spacing w:before="120" w:after="120" w:line="240" w:lineRule="auto"/>
        <w:widowControl w:val="off"/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pPr>
      <w:r>
        <w:rPr>
          <w:rFonts w:ascii="FreeSerif" w:hAnsi="FreeSerif" w:eastAsia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Благодарю за внимание!</w:t>
      </w:r>
      <w:r>
        <w:rPr>
          <w:rFonts w:ascii="FreeSerif" w:hAnsi="FreeSerif" w:cs="FreeSerif"/>
          <w:b w:val="0"/>
          <w:bCs w:val="0"/>
          <w:i w:val="0"/>
          <w:caps w:val="0"/>
          <w:color w:val="000000"/>
          <w:spacing w:val="0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51" w:right="624" w:bottom="1134" w:left="1701" w:header="425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">
    <w:name w:val="Default Paragraph Font"/>
    <w:uiPriority w:val="1"/>
    <w:semiHidden/>
    <w:unhideWhenUsed/>
  </w:style>
  <w:style w:type="character" w:styleId="14">
    <w:name w:val="Heading 1 Char"/>
    <w:basedOn w:val="11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70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7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6"/>
    <w:next w:val="66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6"/>
    <w:next w:val="66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6"/>
    <w:next w:val="66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6"/>
    <w:next w:val="66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702"/>
    <w:uiPriority w:val="10"/>
    <w:rPr>
      <w:sz w:val="48"/>
      <w:szCs w:val="48"/>
    </w:rPr>
  </w:style>
  <w:style w:type="character" w:styleId="37">
    <w:name w:val="Subtitle Char"/>
    <w:basedOn w:val="11"/>
    <w:link w:val="700"/>
    <w:uiPriority w:val="11"/>
    <w:rPr>
      <w:sz w:val="24"/>
      <w:szCs w:val="24"/>
    </w:rPr>
  </w:style>
  <w:style w:type="paragraph" w:styleId="38">
    <w:name w:val="Quote"/>
    <w:basedOn w:val="666"/>
    <w:next w:val="66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6"/>
    <w:next w:val="66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6"/>
    <w:next w:val="6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66"/>
    <w:next w:val="666"/>
    <w:uiPriority w:val="99"/>
    <w:unhideWhenUsed/>
    <w:pPr>
      <w:spacing w:after="0" w:afterAutospacing="0"/>
    </w:pPr>
  </w:style>
  <w:style w:type="paragraph" w:styleId="665" w:default="1">
    <w:name w:val="Normal"/>
    <w:link w:val="666"/>
    <w:uiPriority w:val="0"/>
    <w:qFormat/>
    <w:pPr>
      <w:jc w:val="both"/>
      <w:spacing w:line="240" w:lineRule="auto"/>
      <w:widowControl w:val="off"/>
    </w:pPr>
    <w:rPr>
      <w:rFonts w:ascii="XO Thames" w:hAnsi="XO Thames"/>
      <w:sz w:val="28"/>
    </w:rPr>
  </w:style>
  <w:style w:type="character" w:styleId="666" w:default="1">
    <w:name w:val="Normal"/>
    <w:link w:val="665"/>
    <w:rPr>
      <w:rFonts w:ascii="XO Thames" w:hAnsi="XO Thames"/>
      <w:sz w:val="28"/>
    </w:rPr>
  </w:style>
  <w:style w:type="paragraph" w:styleId="667">
    <w:name w:val="toc 2"/>
    <w:next w:val="665"/>
    <w:link w:val="668"/>
    <w:uiPriority w:val="39"/>
    <w:pPr>
      <w:ind w:left="200" w:firstLine="0"/>
      <w:jc w:val="left"/>
      <w:widowControl w:val="off"/>
    </w:pPr>
    <w:rPr>
      <w:rFonts w:ascii="XO Thames" w:hAnsi="XO Thames"/>
      <w:sz w:val="28"/>
    </w:rPr>
  </w:style>
  <w:style w:type="character" w:styleId="668">
    <w:name w:val="toc 2"/>
    <w:link w:val="667"/>
    <w:rPr>
      <w:rFonts w:ascii="XO Thames" w:hAnsi="XO Thames"/>
      <w:sz w:val="28"/>
    </w:rPr>
  </w:style>
  <w:style w:type="paragraph" w:styleId="669">
    <w:name w:val="toc 4"/>
    <w:next w:val="665"/>
    <w:link w:val="670"/>
    <w:uiPriority w:val="39"/>
    <w:pPr>
      <w:ind w:left="600" w:firstLine="0"/>
      <w:jc w:val="left"/>
      <w:widowControl w:val="off"/>
    </w:pPr>
    <w:rPr>
      <w:rFonts w:ascii="XO Thames" w:hAnsi="XO Thames"/>
      <w:sz w:val="28"/>
    </w:rPr>
  </w:style>
  <w:style w:type="character" w:styleId="670">
    <w:name w:val="toc 4"/>
    <w:link w:val="669"/>
    <w:rPr>
      <w:rFonts w:ascii="XO Thames" w:hAnsi="XO Thames"/>
      <w:sz w:val="28"/>
    </w:rPr>
  </w:style>
  <w:style w:type="paragraph" w:styleId="671">
    <w:name w:val="toc 6"/>
    <w:next w:val="665"/>
    <w:link w:val="672"/>
    <w:uiPriority w:val="39"/>
    <w:pPr>
      <w:ind w:left="1000" w:firstLine="0"/>
      <w:jc w:val="left"/>
      <w:widowControl w:val="off"/>
    </w:pPr>
    <w:rPr>
      <w:rFonts w:ascii="XO Thames" w:hAnsi="XO Thames"/>
      <w:sz w:val="28"/>
    </w:rPr>
  </w:style>
  <w:style w:type="character" w:styleId="672">
    <w:name w:val="toc 6"/>
    <w:link w:val="671"/>
    <w:rPr>
      <w:rFonts w:ascii="XO Thames" w:hAnsi="XO Thames"/>
      <w:sz w:val="28"/>
    </w:rPr>
  </w:style>
  <w:style w:type="paragraph" w:styleId="673">
    <w:name w:val="toc 7"/>
    <w:next w:val="665"/>
    <w:link w:val="674"/>
    <w:uiPriority w:val="39"/>
    <w:pPr>
      <w:ind w:left="1200" w:firstLine="0"/>
      <w:jc w:val="left"/>
      <w:widowControl w:val="off"/>
    </w:pPr>
    <w:rPr>
      <w:rFonts w:ascii="XO Thames" w:hAnsi="XO Thames"/>
      <w:sz w:val="28"/>
    </w:rPr>
  </w:style>
  <w:style w:type="character" w:styleId="674">
    <w:name w:val="toc 7"/>
    <w:link w:val="673"/>
    <w:rPr>
      <w:rFonts w:ascii="XO Thames" w:hAnsi="XO Thames"/>
      <w:sz w:val="28"/>
    </w:rPr>
  </w:style>
  <w:style w:type="paragraph" w:styleId="675">
    <w:name w:val="Endnote"/>
    <w:link w:val="676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676">
    <w:name w:val="Endnote"/>
    <w:link w:val="675"/>
    <w:rPr>
      <w:rFonts w:ascii="XO Thames" w:hAnsi="XO Thames"/>
      <w:sz w:val="22"/>
    </w:rPr>
  </w:style>
  <w:style w:type="paragraph" w:styleId="677">
    <w:name w:val="Heading 3"/>
    <w:next w:val="665"/>
    <w:link w:val="678"/>
    <w:uiPriority w:val="9"/>
    <w:qFormat/>
    <w:pPr>
      <w:jc w:val="both"/>
      <w:spacing w:before="120" w:after="120"/>
      <w:widowControl w:val="off"/>
      <w:outlineLvl w:val="2"/>
    </w:pPr>
    <w:rPr>
      <w:rFonts w:ascii="XO Thames" w:hAnsi="XO Thames"/>
      <w:b/>
      <w:sz w:val="26"/>
    </w:rPr>
  </w:style>
  <w:style w:type="character" w:styleId="678">
    <w:name w:val="Heading 3"/>
    <w:link w:val="677"/>
    <w:rPr>
      <w:rFonts w:ascii="XO Thames" w:hAnsi="XO Thames"/>
      <w:b/>
      <w:sz w:val="26"/>
    </w:rPr>
  </w:style>
  <w:style w:type="paragraph" w:styleId="679">
    <w:name w:val="toc 3"/>
    <w:next w:val="665"/>
    <w:link w:val="680"/>
    <w:uiPriority w:val="39"/>
    <w:pPr>
      <w:ind w:left="400" w:firstLine="0"/>
      <w:jc w:val="left"/>
      <w:widowControl w:val="off"/>
    </w:pPr>
    <w:rPr>
      <w:rFonts w:ascii="XO Thames" w:hAnsi="XO Thames"/>
      <w:sz w:val="28"/>
    </w:rPr>
  </w:style>
  <w:style w:type="character" w:styleId="680">
    <w:name w:val="toc 3"/>
    <w:link w:val="679"/>
    <w:rPr>
      <w:rFonts w:ascii="XO Thames" w:hAnsi="XO Thames"/>
      <w:sz w:val="28"/>
    </w:rPr>
  </w:style>
  <w:style w:type="paragraph" w:styleId="681">
    <w:name w:val="Heading 5"/>
    <w:next w:val="665"/>
    <w:link w:val="682"/>
    <w:uiPriority w:val="9"/>
    <w:qFormat/>
    <w:pPr>
      <w:jc w:val="both"/>
      <w:spacing w:before="120" w:after="120"/>
      <w:widowControl w:val="off"/>
      <w:outlineLvl w:val="4"/>
    </w:pPr>
    <w:rPr>
      <w:rFonts w:ascii="XO Thames" w:hAnsi="XO Thames"/>
      <w:b/>
      <w:sz w:val="22"/>
    </w:rPr>
  </w:style>
  <w:style w:type="character" w:styleId="682">
    <w:name w:val="Heading 5"/>
    <w:link w:val="681"/>
    <w:rPr>
      <w:rFonts w:ascii="XO Thames" w:hAnsi="XO Thames"/>
      <w:b/>
      <w:sz w:val="22"/>
    </w:rPr>
  </w:style>
  <w:style w:type="paragraph" w:styleId="683">
    <w:name w:val="Heading 1"/>
    <w:next w:val="665"/>
    <w:link w:val="684"/>
    <w:uiPriority w:val="9"/>
    <w:qFormat/>
    <w:pPr>
      <w:jc w:val="both"/>
      <w:spacing w:before="120" w:after="120"/>
      <w:widowControl w:val="off"/>
      <w:outlineLvl w:val="0"/>
    </w:pPr>
    <w:rPr>
      <w:rFonts w:ascii="XO Thames" w:hAnsi="XO Thames"/>
      <w:b/>
      <w:sz w:val="32"/>
    </w:rPr>
  </w:style>
  <w:style w:type="character" w:styleId="684">
    <w:name w:val="Heading 1"/>
    <w:link w:val="683"/>
    <w:rPr>
      <w:rFonts w:ascii="XO Thames" w:hAnsi="XO Thames"/>
      <w:b/>
      <w:sz w:val="32"/>
    </w:rPr>
  </w:style>
  <w:style w:type="paragraph" w:styleId="685">
    <w:name w:val="Hyperlink"/>
    <w:link w:val="686"/>
    <w:rPr>
      <w:color w:val="0000ff"/>
      <w:u w:val="single"/>
    </w:rPr>
  </w:style>
  <w:style w:type="character" w:styleId="686">
    <w:name w:val="Hyperlink"/>
    <w:link w:val="685"/>
    <w:rPr>
      <w:color w:val="0000ff"/>
      <w:u w:val="single"/>
    </w:rPr>
  </w:style>
  <w:style w:type="paragraph" w:styleId="687">
    <w:name w:val="Footnote"/>
    <w:link w:val="688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688">
    <w:name w:val="Footnote"/>
    <w:link w:val="687"/>
    <w:rPr>
      <w:rFonts w:ascii="XO Thames" w:hAnsi="XO Thames"/>
      <w:sz w:val="22"/>
    </w:rPr>
  </w:style>
  <w:style w:type="paragraph" w:styleId="689">
    <w:name w:val="toc 1"/>
    <w:next w:val="665"/>
    <w:link w:val="690"/>
    <w:uiPriority w:val="39"/>
    <w:pPr>
      <w:ind w:left="0" w:firstLine="0"/>
      <w:jc w:val="left"/>
      <w:widowControl w:val="off"/>
    </w:pPr>
    <w:rPr>
      <w:rFonts w:ascii="XO Thames" w:hAnsi="XO Thames"/>
      <w:b/>
      <w:sz w:val="28"/>
    </w:rPr>
  </w:style>
  <w:style w:type="character" w:styleId="690">
    <w:name w:val="toc 1"/>
    <w:link w:val="689"/>
    <w:rPr>
      <w:rFonts w:ascii="XO Thames" w:hAnsi="XO Thames"/>
      <w:b/>
      <w:sz w:val="28"/>
    </w:rPr>
  </w:style>
  <w:style w:type="paragraph" w:styleId="691">
    <w:name w:val="Header and Footer"/>
    <w:link w:val="692"/>
    <w:pPr>
      <w:jc w:val="both"/>
      <w:spacing w:line="240" w:lineRule="auto"/>
      <w:widowControl w:val="off"/>
    </w:pPr>
    <w:rPr>
      <w:rFonts w:ascii="XO Thames" w:hAnsi="XO Thames"/>
      <w:sz w:val="28"/>
    </w:rPr>
  </w:style>
  <w:style w:type="character" w:styleId="692">
    <w:name w:val="Header and Footer"/>
    <w:link w:val="691"/>
    <w:rPr>
      <w:rFonts w:ascii="XO Thames" w:hAnsi="XO Thames"/>
      <w:sz w:val="28"/>
    </w:rPr>
  </w:style>
  <w:style w:type="paragraph" w:styleId="693">
    <w:name w:val="toc 9"/>
    <w:next w:val="665"/>
    <w:link w:val="694"/>
    <w:uiPriority w:val="39"/>
    <w:pPr>
      <w:ind w:left="1600" w:firstLine="0"/>
      <w:jc w:val="left"/>
      <w:widowControl w:val="off"/>
    </w:pPr>
    <w:rPr>
      <w:rFonts w:ascii="XO Thames" w:hAnsi="XO Thames"/>
      <w:sz w:val="28"/>
    </w:rPr>
  </w:style>
  <w:style w:type="character" w:styleId="694">
    <w:name w:val="toc 9"/>
    <w:link w:val="693"/>
    <w:rPr>
      <w:rFonts w:ascii="XO Thames" w:hAnsi="XO Thames"/>
      <w:sz w:val="28"/>
    </w:rPr>
  </w:style>
  <w:style w:type="paragraph" w:styleId="695">
    <w:name w:val="toc 8"/>
    <w:next w:val="665"/>
    <w:link w:val="696"/>
    <w:uiPriority w:val="39"/>
    <w:pPr>
      <w:ind w:left="1400" w:firstLine="0"/>
      <w:jc w:val="left"/>
      <w:widowControl w:val="off"/>
    </w:pPr>
    <w:rPr>
      <w:rFonts w:ascii="XO Thames" w:hAnsi="XO Thames"/>
      <w:sz w:val="28"/>
    </w:rPr>
  </w:style>
  <w:style w:type="character" w:styleId="696">
    <w:name w:val="toc 8"/>
    <w:link w:val="695"/>
    <w:rPr>
      <w:rFonts w:ascii="XO Thames" w:hAnsi="XO Thames"/>
      <w:sz w:val="28"/>
    </w:rPr>
  </w:style>
  <w:style w:type="paragraph" w:styleId="697">
    <w:name w:val="toc 5"/>
    <w:next w:val="665"/>
    <w:link w:val="698"/>
    <w:uiPriority w:val="39"/>
    <w:pPr>
      <w:ind w:left="800" w:firstLine="0"/>
      <w:jc w:val="left"/>
      <w:widowControl w:val="off"/>
    </w:pPr>
    <w:rPr>
      <w:rFonts w:ascii="XO Thames" w:hAnsi="XO Thames"/>
      <w:sz w:val="28"/>
    </w:rPr>
  </w:style>
  <w:style w:type="character" w:styleId="698">
    <w:name w:val="toc 5"/>
    <w:link w:val="697"/>
    <w:rPr>
      <w:rFonts w:ascii="XO Thames" w:hAnsi="XO Thames"/>
      <w:sz w:val="28"/>
    </w:rPr>
  </w:style>
  <w:style w:type="paragraph" w:styleId="699">
    <w:name w:val="Subtitle"/>
    <w:next w:val="665"/>
    <w:link w:val="700"/>
    <w:uiPriority w:val="11"/>
    <w:qFormat/>
    <w:pPr>
      <w:jc w:val="both"/>
      <w:widowControl w:val="off"/>
    </w:pPr>
    <w:rPr>
      <w:rFonts w:ascii="XO Thames" w:hAnsi="XO Thames"/>
      <w:i/>
      <w:sz w:val="24"/>
    </w:rPr>
  </w:style>
  <w:style w:type="character" w:styleId="700">
    <w:name w:val="Subtitle"/>
    <w:link w:val="699"/>
    <w:rPr>
      <w:rFonts w:ascii="XO Thames" w:hAnsi="XO Thames"/>
      <w:i/>
      <w:sz w:val="24"/>
    </w:rPr>
  </w:style>
  <w:style w:type="paragraph" w:styleId="701">
    <w:name w:val="Title"/>
    <w:next w:val="665"/>
    <w:link w:val="702"/>
    <w:uiPriority w:val="10"/>
    <w:qFormat/>
    <w:pPr>
      <w:jc w:val="center"/>
      <w:spacing w:before="567" w:after="567"/>
      <w:widowControl w:val="off"/>
    </w:pPr>
    <w:rPr>
      <w:rFonts w:ascii="XO Thames" w:hAnsi="XO Thames"/>
      <w:b/>
      <w:caps/>
      <w:sz w:val="40"/>
    </w:rPr>
  </w:style>
  <w:style w:type="character" w:styleId="702">
    <w:name w:val="Title"/>
    <w:link w:val="701"/>
    <w:rPr>
      <w:rFonts w:ascii="XO Thames" w:hAnsi="XO Thames"/>
      <w:b/>
      <w:caps/>
      <w:sz w:val="40"/>
    </w:rPr>
  </w:style>
  <w:style w:type="paragraph" w:styleId="703">
    <w:name w:val="Heading 4"/>
    <w:next w:val="665"/>
    <w:link w:val="704"/>
    <w:uiPriority w:val="9"/>
    <w:qFormat/>
    <w:pPr>
      <w:jc w:val="both"/>
      <w:spacing w:before="120" w:after="120"/>
      <w:widowControl w:val="off"/>
      <w:outlineLvl w:val="3"/>
    </w:pPr>
    <w:rPr>
      <w:rFonts w:ascii="XO Thames" w:hAnsi="XO Thames"/>
      <w:b/>
      <w:sz w:val="24"/>
    </w:rPr>
  </w:style>
  <w:style w:type="character" w:styleId="704">
    <w:name w:val="Heading 4"/>
    <w:link w:val="703"/>
    <w:rPr>
      <w:rFonts w:ascii="XO Thames" w:hAnsi="XO Thames"/>
      <w:b/>
      <w:sz w:val="24"/>
    </w:rPr>
  </w:style>
  <w:style w:type="paragraph" w:styleId="705">
    <w:name w:val="Heading 2"/>
    <w:next w:val="665"/>
    <w:link w:val="706"/>
    <w:uiPriority w:val="9"/>
    <w:qFormat/>
    <w:pPr>
      <w:jc w:val="both"/>
      <w:spacing w:before="120" w:after="120"/>
      <w:widowControl w:val="off"/>
      <w:outlineLvl w:val="1"/>
    </w:pPr>
    <w:rPr>
      <w:rFonts w:ascii="XO Thames" w:hAnsi="XO Thames"/>
      <w:b/>
      <w:sz w:val="28"/>
    </w:rPr>
  </w:style>
  <w:style w:type="character" w:styleId="706">
    <w:name w:val="Heading 2"/>
    <w:link w:val="705"/>
    <w:rPr>
      <w:rFonts w:ascii="XO Thames" w:hAnsi="XO Thames"/>
      <w:b/>
      <w:sz w:val="28"/>
    </w:rPr>
  </w:style>
  <w:style w:type="numbering" w:styleId="1670" w:default="1">
    <w:name w:val="No List"/>
    <w:uiPriority w:val="99"/>
    <w:semiHidden/>
    <w:unhideWhenUsed/>
  </w:style>
  <w:style w:type="table" w:styleId="16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2026-02-17T08:56:11Z</dcterms:created>
  <dcterms:modified xsi:type="dcterms:W3CDTF">2026-03-02T08:12:29Z</dcterms:modified>
</cp:coreProperties>
</file>