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firstLine="0" w:left="5102"/>
        <w:jc w:val="left"/>
        <w:rPr>
          <w:rFonts w:ascii="Tinos" w:hAnsi="Tinos"/>
        </w:rPr>
      </w:pPr>
      <w:r>
        <w:rPr>
          <w:rFonts w:ascii="Tinos" w:hAnsi="Tinos"/>
        </w:rPr>
        <w:t>Приложение</w:t>
      </w:r>
    </w:p>
    <w:p w14:paraId="04000000">
      <w:pPr>
        <w:pStyle w:val="Style_2"/>
        <w:widowControl w:val="1"/>
        <w:ind w:firstLine="0" w:left="5102"/>
        <w:jc w:val="left"/>
        <w:rPr>
          <w:rFonts w:ascii="Tinos" w:hAnsi="Tinos"/>
        </w:rPr>
      </w:pPr>
    </w:p>
    <w:p w14:paraId="05000000">
      <w:pPr>
        <w:pStyle w:val="Style_2"/>
        <w:widowControl w:val="1"/>
        <w:ind w:firstLine="0" w:left="5102"/>
        <w:jc w:val="left"/>
        <w:rPr>
          <w:rFonts w:ascii="Tinos" w:hAnsi="Tinos"/>
        </w:rPr>
      </w:pPr>
      <w:r>
        <w:rPr>
          <w:rFonts w:ascii="Tinos" w:hAnsi="Tinos"/>
        </w:rPr>
        <w:t xml:space="preserve">УТВЕРЖДЕН </w:t>
      </w:r>
    </w:p>
    <w:p w14:paraId="06000000">
      <w:pPr>
        <w:pStyle w:val="Style_2"/>
        <w:widowControl w:val="1"/>
        <w:ind w:firstLine="0" w:left="5102"/>
        <w:jc w:val="left"/>
        <w:rPr>
          <w:rFonts w:ascii="Tinos" w:hAnsi="Tinos"/>
        </w:rPr>
      </w:pPr>
      <w:r>
        <w:rPr>
          <w:rFonts w:ascii="Tinos" w:hAnsi="Tinos"/>
        </w:rPr>
        <w:t xml:space="preserve">постановлением администрации муниципального образования </w:t>
      </w:r>
      <w:r>
        <w:rPr>
          <w:rFonts w:ascii="Tinos" w:hAnsi="Tinos"/>
        </w:rPr>
        <w:t xml:space="preserve">Ленинградский муниципальный </w:t>
      </w:r>
    </w:p>
    <w:p w14:paraId="07000000">
      <w:pPr>
        <w:pStyle w:val="Style_2"/>
        <w:widowControl w:val="1"/>
        <w:ind w:firstLine="0" w:left="5102"/>
        <w:jc w:val="left"/>
        <w:rPr>
          <w:rFonts w:ascii="Tinos" w:hAnsi="Tinos"/>
        </w:rPr>
      </w:pPr>
      <w:r>
        <w:rPr>
          <w:rFonts w:ascii="Tinos" w:hAnsi="Tinos"/>
        </w:rPr>
        <w:t xml:space="preserve">округ Краснодарского края </w:t>
      </w:r>
    </w:p>
    <w:p w14:paraId="08000000">
      <w:pPr>
        <w:pStyle w:val="Style_2"/>
        <w:widowControl w:val="1"/>
        <w:ind w:firstLine="0" w:left="5102"/>
        <w:jc w:val="left"/>
        <w:rPr>
          <w:rFonts w:ascii="Tinos" w:hAnsi="Tinos"/>
        </w:rPr>
      </w:pPr>
      <w:r>
        <w:rPr>
          <w:rFonts w:ascii="Tinos" w:hAnsi="Tinos"/>
        </w:rPr>
        <w:t>от 22.09.2026 № 1512</w:t>
      </w:r>
    </w:p>
    <w:p w14:paraId="09000000">
      <w:pPr>
        <w:pStyle w:val="Style_2"/>
        <w:rPr>
          <w:rFonts w:ascii="Tinos" w:hAnsi="Tinos"/>
        </w:rPr>
      </w:pPr>
    </w:p>
    <w:p w14:paraId="0A000000">
      <w:pPr>
        <w:pStyle w:val="Style_2"/>
        <w:widowControl w:val="1"/>
        <w:ind w:firstLine="709"/>
        <w:jc w:val="center"/>
        <w:rPr>
          <w:rFonts w:ascii="Tinos" w:hAnsi="Tinos"/>
          <w:b w:val="1"/>
        </w:rPr>
      </w:pPr>
      <w:r>
        <w:rPr>
          <w:rFonts w:ascii="Tinos" w:hAnsi="Tinos"/>
          <w:b w:val="1"/>
        </w:rPr>
        <w:t xml:space="preserve">Порядок </w:t>
      </w:r>
      <w:r>
        <w:rPr>
          <w:rFonts w:ascii="Tinos" w:hAnsi="Tinos"/>
          <w:b w:val="1"/>
        </w:rPr>
        <w:t>выдачи согласия в письменной форме владельца автомобильной дороги местного значения муниципального образования Ленинградский муницип</w:t>
      </w:r>
      <w:r>
        <w:rPr>
          <w:rFonts w:ascii="Tinos" w:hAnsi="Tinos"/>
          <w:b w:val="1"/>
        </w:rPr>
        <w:t>альный округ Краснодарского края на строительство, реконструкцию, капитальный ремонт, ремонт являющихся сооружениями пересечений автомобильных дорог местного значения муниципального образования Ленинградский муниципальный округ Краснодарского края с другим</w:t>
      </w:r>
      <w:r>
        <w:rPr>
          <w:rFonts w:ascii="Tinos" w:hAnsi="Tinos"/>
          <w:b w:val="1"/>
        </w:rPr>
        <w:t>и автомобильными дорогами и примыканий автомобильных дорог местного значения муниципального образования Ленинградский муниципальный округ Краснодарского края к другим автомобильным дорогам, а также перечня документов, необходимых для выдачи такого согласия</w:t>
      </w:r>
    </w:p>
    <w:p w14:paraId="0B000000">
      <w:pPr>
        <w:pStyle w:val="Style_2"/>
        <w:widowControl w:val="1"/>
        <w:ind w:firstLine="709"/>
        <w:jc w:val="center"/>
        <w:rPr>
          <w:rFonts w:ascii="Tinos" w:hAnsi="Tinos"/>
          <w:b w:val="1"/>
        </w:rPr>
      </w:pPr>
    </w:p>
    <w:p w14:paraId="0C000000">
      <w:pPr>
        <w:pStyle w:val="Style_2"/>
        <w:widowControl w:val="1"/>
        <w:ind w:firstLine="709"/>
        <w:jc w:val="center"/>
        <w:rPr>
          <w:rFonts w:ascii="Tinos" w:hAnsi="Tinos"/>
          <w:b w:val="1"/>
        </w:rPr>
      </w:pPr>
      <w:r>
        <w:rPr>
          <w:rFonts w:ascii="Tinos" w:hAnsi="Tinos"/>
          <w:b w:val="1"/>
        </w:rPr>
        <w:t>1. Общие положения</w:t>
      </w:r>
    </w:p>
    <w:p w14:paraId="0D000000">
      <w:pPr>
        <w:pStyle w:val="Style_2"/>
        <w:widowControl w:val="1"/>
        <w:ind w:firstLine="709"/>
        <w:rPr>
          <w:rFonts w:ascii="Tinos" w:hAnsi="Tinos"/>
        </w:rPr>
      </w:pPr>
    </w:p>
    <w:p w14:paraId="0E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 xml:space="preserve">1.1.Порядок </w:t>
      </w:r>
      <w:r>
        <w:rPr>
          <w:rFonts w:ascii="Tinos" w:hAnsi="Tinos"/>
        </w:rPr>
        <w:t>выдачи согласия в письменной форме владельца автомобильной дороги местного значения муниципального образования Ленинградский муницип</w:t>
      </w:r>
      <w:r>
        <w:rPr>
          <w:rFonts w:ascii="Tinos" w:hAnsi="Tinos"/>
        </w:rPr>
        <w:t>альный округ Краснодарского края на строительство, реконструкцию, капитальный ремонт, ремонт являющихся сооружениями пересечений автомобильных дорог местного значения муниципального образования Ленинградский муниципальный округ Краснодарского края с другим</w:t>
      </w:r>
      <w:r>
        <w:rPr>
          <w:rFonts w:ascii="Tinos" w:hAnsi="Tinos"/>
        </w:rPr>
        <w:t>и автомобильными дорогами и примыканий автомобильных дорог местного значения муниципального образования Ленинградский муниципальный округ Краснодарского края к другим автомобильным дорогам, а также перечня документов, необходимых для выдачи такого согласия</w:t>
      </w:r>
      <w:r>
        <w:rPr>
          <w:rFonts w:ascii="Tinos" w:hAnsi="Tinos"/>
        </w:rPr>
        <w:t xml:space="preserve"> (далее - Порядок) определяет правила выдачи согласия в письменной форме владельц</w:t>
      </w:r>
      <w:r>
        <w:rPr>
          <w:rFonts w:ascii="Tinos" w:hAnsi="Tinos"/>
        </w:rPr>
        <w:t xml:space="preserve">а автомобильной дороги местного значения муниципального образования Ленинградский муниципальный округ Краснодарского края на строительство, реконструкцию, капитальный ремонт, ремонт являющихся сооружениями пересечений автомобильных дорог местного значения </w:t>
      </w:r>
      <w:r>
        <w:rPr>
          <w:rFonts w:ascii="Tinos" w:hAnsi="Tinos"/>
        </w:rPr>
        <w:t>муниципального образования Ленинградский муниципальный округ Краснодарского края</w:t>
      </w:r>
      <w:r>
        <w:rPr>
          <w:rFonts w:ascii="Tinos" w:hAnsi="Tinos"/>
        </w:rPr>
        <w:t xml:space="preserve"> с другими автомобильными дорогами и примыканий автомобильных дорог местного значения </w:t>
      </w:r>
      <w:r>
        <w:rPr>
          <w:rFonts w:ascii="Tinos" w:hAnsi="Tinos"/>
        </w:rPr>
        <w:t>муниципального образования Ленинградский муниципальный округ Краснодарского края</w:t>
      </w:r>
      <w:r>
        <w:rPr>
          <w:rFonts w:ascii="Tinos" w:hAnsi="Tinos"/>
        </w:rPr>
        <w:t xml:space="preserve"> к другим автомобильным дорогам, а также перечень документов, необходимых для выдачи такого согласия (далее соответственно - согласие, автомобильные дороги местного значения, пересечение, примыкание).</w:t>
      </w:r>
    </w:p>
    <w:p w14:paraId="0F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1.2. Настоящий Пор</w:t>
      </w:r>
      <w:r>
        <w:rPr>
          <w:rFonts w:ascii="Tinos" w:hAnsi="Tinos"/>
        </w:rPr>
        <w:t>ядок регулирует отношения, возникающие в связи со строительством, реконструкцией, капитальным ремонтом, ремонтом пересечения и примыкания федеральных, региональных, межмуниципальных и частных автомобильных дорог с автомобильными дорогами местного значения.</w:t>
      </w:r>
    </w:p>
    <w:p w14:paraId="10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1.3. Настоящий Порядок является обязательным для исполнения юридическими и физическими лицами (включая индивидуальных предпринимателей) (дале</w:t>
      </w:r>
      <w:r>
        <w:rPr>
          <w:rFonts w:ascii="Tinos" w:hAnsi="Tinos"/>
        </w:rPr>
        <w:t>е - заявитель), осуществляющими строительство, реконструкцию, капитальный ремонт,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 автомобильной дороге.</w:t>
      </w:r>
    </w:p>
    <w:p w14:paraId="11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1.4. Для целей настоящего Порядка владельцем автомобильных дорог признается администрация </w:t>
      </w:r>
      <w:r>
        <w:rPr>
          <w:rFonts w:ascii="Tinos" w:hAnsi="Tinos"/>
        </w:rPr>
        <w:t>муниципального образования Ленинградский муниципальный округ Краснодарского края</w:t>
      </w:r>
      <w:r>
        <w:rPr>
          <w:rFonts w:ascii="Tinos" w:hAnsi="Tinos"/>
        </w:rPr>
        <w:t xml:space="preserve"> (далее - администрация).</w:t>
      </w:r>
    </w:p>
    <w:p w14:paraId="12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 xml:space="preserve">Органом, осуществляющим от имени администрации функции владельца автомобильных дорог местного значения и уполномоченным на выдачу согласия, является управление строительства, благоустройства и содержания улично-дорожной сети администрации </w:t>
      </w:r>
      <w:r>
        <w:rPr>
          <w:rFonts w:ascii="Tinos" w:hAnsi="Tinos"/>
        </w:rPr>
        <w:t>муниципального образования Ленинградский муниципальный округ Краснодарского края</w:t>
      </w:r>
      <w:r>
        <w:rPr>
          <w:rFonts w:ascii="Tinos" w:hAnsi="Tinos"/>
        </w:rPr>
        <w:t xml:space="preserve"> (далее - уполномоченный орган).</w:t>
      </w:r>
    </w:p>
    <w:p w14:paraId="13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1.5. Строительство, реконструкция пересечения и примыкания допускаются при наличии разрешения на строительство, выданного в соответствии с Градостроительным кодексом Российской Федерации и </w:t>
      </w:r>
      <w:r>
        <w:rPr>
          <w:rFonts w:ascii="Tinos" w:hAnsi="Tinos"/>
        </w:rPr>
        <w:t>Федеральным законом от 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и согласия уполномоченного органа в письменной форме.</w:t>
      </w:r>
    </w:p>
    <w:p w14:paraId="14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1.6. Капитальный ремонт, ремонт пересечения и примыкания в отношении автомобильных дорог местного значения допус</w:t>
      </w:r>
      <w:r>
        <w:rPr>
          <w:rFonts w:ascii="Tinos" w:hAnsi="Tinos"/>
        </w:rPr>
        <w:t>каются при наличии согласия уполномоченного органа, выданного в письменной форме. При этом с уполномоченным органом должны быть согласованы порядок осуществления работ по капитальному ремонту, ремонту указанных пересечений и примыканий и объем таких работ.</w:t>
      </w:r>
    </w:p>
    <w:p w14:paraId="15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 xml:space="preserve">1.7. Согласие уполномоченного органа в письменной форме, указанное в пунктах </w:t>
      </w:r>
      <w:r>
        <w:rPr>
          <w:rFonts w:ascii="Tinos" w:hAnsi="Tinos"/>
        </w:rPr>
        <w:t>1.5, 1.6 настоящего Порядка, должно содержать технические требования и условия, подлежащие обязательному исполнению лицами, осуществляющими строительство, реконструкцию, капитальный ремонт и ремонт пересечения и примыкания (далее - технические требования).</w:t>
      </w:r>
    </w:p>
    <w:p w14:paraId="16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1.8. При согласовании строительства, реконструкции, капитального ремонта, ремонта пересечения и примыкания уполномоченный орган обязан ин</w:t>
      </w:r>
      <w:r>
        <w:rPr>
          <w:rFonts w:ascii="Tinos" w:hAnsi="Tinos"/>
        </w:rPr>
        <w:t xml:space="preserve">формировать лиц, которые планируют осуществлять строительство, реконструкцию, капитальный ремонт, ремонт таких пересечений и </w:t>
      </w:r>
      <w:r>
        <w:rPr>
          <w:rFonts w:ascii="Tinos" w:hAnsi="Tinos"/>
        </w:rPr>
        <w:t>примыканий, о планируемых реконструкции, капитальном ремонте автомобильных дорог и о сроках их реконструкции, капитального ремонта.</w:t>
      </w:r>
    </w:p>
    <w:p w14:paraId="17000000">
      <w:pPr>
        <w:pStyle w:val="Style_2"/>
        <w:widowControl w:val="1"/>
        <w:ind w:firstLine="709"/>
        <w:rPr>
          <w:rFonts w:ascii="Tinos" w:hAnsi="Tinos"/>
        </w:rPr>
      </w:pPr>
    </w:p>
    <w:p w14:paraId="18000000">
      <w:pPr>
        <w:widowControl w:val="1"/>
        <w:ind w:firstLine="709"/>
        <w:jc w:val="center"/>
        <w:rPr>
          <w:rFonts w:ascii="Tinos" w:hAnsi="Tinos"/>
          <w:b w:val="1"/>
        </w:rPr>
      </w:pPr>
    </w:p>
    <w:p w14:paraId="19000000">
      <w:pPr>
        <w:pStyle w:val="Style_2"/>
        <w:widowControl w:val="1"/>
        <w:ind w:firstLine="709"/>
        <w:jc w:val="center"/>
        <w:rPr>
          <w:rFonts w:ascii="Tinos" w:hAnsi="Tinos"/>
          <w:b w:val="1"/>
        </w:rPr>
      </w:pPr>
      <w:r>
        <w:rPr>
          <w:rFonts w:ascii="Tinos" w:hAnsi="Tinos"/>
          <w:b w:val="1"/>
        </w:rPr>
        <w:t>2. Порядок получения согласия</w:t>
      </w:r>
    </w:p>
    <w:p w14:paraId="1A000000">
      <w:pPr>
        <w:pStyle w:val="Style_2"/>
        <w:widowControl w:val="1"/>
        <w:ind w:firstLine="709"/>
        <w:rPr>
          <w:rFonts w:ascii="Tinos" w:hAnsi="Tinos"/>
        </w:rPr>
      </w:pPr>
    </w:p>
    <w:p w14:paraId="1B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2.1. В целях получения согласия заявитель направляет в администрацию заявление о выдаче согласия (далее - заявление). К заявлению прилагаются:</w:t>
      </w:r>
    </w:p>
    <w:p w14:paraId="1C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копия документа, удостоверяющего личность заявителя (законного представителя заявителя), заверенная в установленном порядке;</w:t>
      </w:r>
    </w:p>
    <w:p w14:paraId="1D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документ, подтверждающий полномочия лица, подписавшего заявление и (или) обратившегося в уполномоченный орган (в случае обращения через законного представителя), либо его копия, заверенная в установленном порядке;</w:t>
      </w:r>
    </w:p>
    <w:p w14:paraId="1E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пояснительная записка с указанием видов работ;</w:t>
      </w:r>
    </w:p>
    <w:p w14:paraId="1F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схемы предполагаемого пересечения или примыкания в отношении автомобильной дороги местного значения, выполненн</w:t>
      </w:r>
      <w:r>
        <w:rPr>
          <w:rFonts w:ascii="Tinos" w:hAnsi="Tinos"/>
        </w:rPr>
        <w:t>ой на основе топографической съемки в масштабе 1:500, отображающей элементы обустройства автомобильной дороги (дорожные знаки, дорожное ограждение, светофоры, остановочные пункты, объекты, предназначенные для освещения автомобильных дорог, пешеходные дорож</w:t>
      </w:r>
      <w:r>
        <w:rPr>
          <w:rFonts w:ascii="Tinos" w:hAnsi="Tinos"/>
        </w:rPr>
        <w:t>ки, стоянки (парковки) транспортных средств, тротуары), наименование и направление автомобильной дороги. На плане указываются границы земельного участка, к которому предполагается осуществить устройство примыкания или пересечения для последующего подъезда;</w:t>
      </w:r>
    </w:p>
    <w:p w14:paraId="20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технологические и конструктивные решения линейного объекта;</w:t>
      </w:r>
    </w:p>
    <w:p w14:paraId="21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сведения об утверждении документации по планировке территории пересечения и (или) примыкания (при наличии);</w:t>
      </w:r>
    </w:p>
    <w:p w14:paraId="22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копии согласий на строительство, реконструкцию, капитальный ремонт, ремонт пересечения и (или) примыкания, выданных ранее иными органами и организациями, получение которых не возможно в рамках межведомственного взаимодействия (при наличии).</w:t>
      </w:r>
    </w:p>
    <w:p w14:paraId="23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2.2. Перечень документов, которые заявитель вправе представить по собственной инициативе и которые подлежат получению в рамках межведомственного взаимодействия:</w:t>
      </w:r>
    </w:p>
    <w:p w14:paraId="24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 xml:space="preserve">выписки из единого </w:t>
      </w:r>
      <w:r>
        <w:rPr>
          <w:rFonts w:ascii="Tinos" w:hAnsi="Tinos"/>
        </w:rPr>
        <w:t>государственного реестра недвижимости в отношении земельного участка (участков), на котором(ых) планируется выполнение работ по строительству, реконструкции, капитальному ремонту, ремонту (представляется в случае если такие земельные участки сформированы);</w:t>
      </w:r>
    </w:p>
    <w:p w14:paraId="25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копии ранее выданных адм</w:t>
      </w:r>
      <w:r>
        <w:rPr>
          <w:rFonts w:ascii="Tinos" w:hAnsi="Tinos"/>
        </w:rPr>
        <w:t>инистрацией согласий на строительство, реконструкцию, капитальный ремонт, ремонт пересечения и (или) примыкания, (в случае необходимости выдачи согласия на реконструкцию, капитальный ремонт, ремонт существующих пересечений и (или) примыканий (при наличии).</w:t>
      </w:r>
    </w:p>
    <w:p w14:paraId="26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Непредставление заявителем документов, указанных в настоящем пункте, не является основанием для отказа в выдаче согласия.</w:t>
      </w:r>
    </w:p>
    <w:p w14:paraId="27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Прилагаемые к заявлению документы не должны иметь исправлений, которые не позволяют однозначно истолковать их содержание, а также не должны быть исполнены карандашом и иметь повреждения.</w:t>
      </w:r>
    </w:p>
    <w:p w14:paraId="28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2.3. В заявлении указываются:</w:t>
      </w:r>
    </w:p>
    <w:p w14:paraId="29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для юридических лиц - полное и сокращенное наименование, организационно-правовая форма, основной государственный регистрационный номер (ОГРН), идентификационный номер нало</w:t>
      </w:r>
      <w:r>
        <w:rPr>
          <w:rFonts w:ascii="Tinos" w:hAnsi="Tinos"/>
        </w:rPr>
        <w:t>гоплательщика (ИНН), юридический и почтовый адрес, фамилия, имя, отчество (при его наличии) руководителя, сведения о лице, действующем по доверенности от руководителя, с приложением копии доверенности (в случае если заявление подписывается представителем);</w:t>
      </w:r>
    </w:p>
    <w:p w14:paraId="2A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для физических лиц - фамилия, имя и отчество (при наличии), идентификационный номер налогоплательщика (</w:t>
      </w:r>
      <w:r>
        <w:rPr>
          <w:rFonts w:ascii="Tinos" w:hAnsi="Tinos"/>
        </w:rPr>
        <w:t>ИНН), место регистрации, фактический адрес места жительства и почтовый адрес, данные документа, удостоверяющего личность, сведения о лице, действующем по доверенности, с приложением копии доверенности (в случае если заявление подписывается представителем);</w:t>
      </w:r>
    </w:p>
    <w:p w14:paraId="2B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контактный телефон (телефоны), адрес электронной почты (при наличии); цель получения согласия;</w:t>
      </w:r>
    </w:p>
    <w:p w14:paraId="2C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планируемое место пересечения и (или) примыкания относительно автомобильной дороги местного значения (номер и наименование автомобильной дороги местного значения с указанием участка в километрах, метрах и стороны (правая или левая);</w:t>
      </w:r>
    </w:p>
    <w:p w14:paraId="2D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 xml:space="preserve">кадастровый номер </w:t>
      </w:r>
      <w:r>
        <w:rPr>
          <w:rFonts w:ascii="Tinos" w:hAnsi="Tinos"/>
        </w:rPr>
        <w:t>земельного участка (участков) (в случае если такой земельный участок сформирован и осуществлена его постановка на государственный кадастровый учет), на котором(ых) планируется выполнение работ по строительству, реконструкции, капитальному ремонту, ремонту;</w:t>
      </w:r>
    </w:p>
    <w:p w14:paraId="2E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согласие на обработку персональных данных;</w:t>
      </w:r>
    </w:p>
    <w:p w14:paraId="2F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срок, в течение которого будут осуществляться работы;</w:t>
      </w:r>
    </w:p>
    <w:p w14:paraId="30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перечень документов, прилагаемых к заявлению;</w:t>
      </w:r>
    </w:p>
    <w:p w14:paraId="31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способ получения согласия (почтовой связью, лично под подпись, электронная почта);</w:t>
      </w:r>
    </w:p>
    <w:p w14:paraId="32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дата, подпись, должность, печать (при ее наличии), фамилия, имя, отчество (при его наличии) заявителя.</w:t>
      </w:r>
    </w:p>
    <w:p w14:paraId="33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2.4. Регистрация заявления с прилагаемыми документами осуществляется в день поступления в администрации. Заявление с прилагаемыми документами после регистрации в администрации направляется в установленном порядке для исполнения в уполномоченный орган.</w:t>
      </w:r>
    </w:p>
    <w:p w14:paraId="34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2.5. Уполномоченный орган по результатам рассмотрения заявления и документов в срок не более чем 30 календарных дней со дня регистрации заявления с прилагаемыми документами выдает (направляет) заявителю согласие или мотивированный отказ в выдаче согласия.</w:t>
      </w:r>
    </w:p>
    <w:p w14:paraId="35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2.6. Основаниями для отказа в выдаче согласия являются:</w:t>
      </w:r>
    </w:p>
    <w:p w14:paraId="36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автомобильная дорога, в отношении которой запрашивается согласие, не является автомобильной дорогой местного значения;</w:t>
      </w:r>
    </w:p>
    <w:p w14:paraId="37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непредставление (представление не в полном объеме) документов, предусмотренных пунктом 2.1 настоящего Порядка, и (или) оформление представленных документов с нарушением требований пункта 2.3 настоящего Порядка;</w:t>
      </w:r>
    </w:p>
    <w:p w14:paraId="38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заявление и прилагаемые документы не поддаются прочтению либо имеют исправления, которые не позволяют однозначно истолковать их содержание;</w:t>
      </w:r>
    </w:p>
    <w:p w14:paraId="39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поступило обращение в письменной форме от заявителя с просьбой об оставлении без рассмотрения поданного заявления;</w:t>
      </w:r>
    </w:p>
    <w:p w14:paraId="3A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представление поврежденных документов или документа, исполненного карандашом;</w:t>
      </w:r>
    </w:p>
    <w:p w14:paraId="3B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разме</w:t>
      </w:r>
      <w:r>
        <w:rPr>
          <w:rFonts w:ascii="Tinos" w:hAnsi="Tinos"/>
        </w:rPr>
        <w:t>щение пересечения или примыкания препятствует реконструкции, ремонту, в том числе планируемым, содержанию автомобильной дороги местного значения, а также влечет за собой ухудшение качественных характеристик элементов автомобильной дороги местного значения;</w:t>
      </w:r>
    </w:p>
    <w:p w14:paraId="3C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несоответствие планируемого порядка осуществления работ, включая сроки их проведения и объемы таких работ, требованиям технических регламентов, ГОСТ, СНИП, СП;</w:t>
      </w:r>
    </w:p>
    <w:p w14:paraId="3D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несоответствие размещения пересечения и (или) примыкания требованиям законодательства Российской Федерации.</w:t>
      </w:r>
    </w:p>
    <w:p w14:paraId="3E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2.7.</w:t>
      </w:r>
      <w:r>
        <w:rPr>
          <w:rFonts w:ascii="Tinos" w:hAnsi="Tinos"/>
        </w:rPr>
        <w:t xml:space="preserve"> При наличии оснований, указанных в пункте 2.6 настоящего Порядка, уполномоченный орган в срок, указанный в пункте 2.5 настоящего Порядка, выдает (направляет) заявителю мотивированный отказ в выдаче согласия в письменной форме с указанием основания отказа.</w:t>
      </w:r>
    </w:p>
    <w:p w14:paraId="3F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 xml:space="preserve">Мотивированный отказ по причине выявленного несоответствия </w:t>
      </w:r>
      <w:r>
        <w:rPr>
          <w:rFonts w:ascii="Tinos" w:hAnsi="Tinos"/>
        </w:rPr>
        <w:t>требованиям нормативных правовых актов и (или) документов по обеспечению безопасности дорожного движения должен содержать наименование нормативного правового акта и (или) документа, несоответствие которому послужило основанием для отказа в выдаче согласия.</w:t>
      </w:r>
    </w:p>
    <w:p w14:paraId="40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2.8. В случае отсутствия оснований для отказа уполномоченным органом оформляется согласие в виде письма.</w:t>
      </w:r>
    </w:p>
    <w:p w14:paraId="41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В согласии указываются:</w:t>
      </w:r>
    </w:p>
    <w:p w14:paraId="42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сведения о заявителе, которому выдается согласие;</w:t>
      </w:r>
    </w:p>
    <w:p w14:paraId="43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цель получения;</w:t>
      </w:r>
    </w:p>
    <w:p w14:paraId="44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планируемое место пересечения и (или) примыкания относительно автомобильной дороги местного значения (номер и наименование автомобильной дороги местного значения с указанием участка в километрах, метрах и стороны (правая или левая);</w:t>
      </w:r>
    </w:p>
    <w:p w14:paraId="45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кадастровый(ые) номер(а) земельного(ых) участка(ов) (указываются при их наличии);</w:t>
      </w:r>
    </w:p>
    <w:p w14:paraId="46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технические требования и условия, обязательные для исполнения;</w:t>
      </w:r>
    </w:p>
    <w:p w14:paraId="47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срок действия согласия, достаточного для выполнения работ, но не менее двух лет;</w:t>
      </w:r>
    </w:p>
    <w:p w14:paraId="48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дата, подпись, должность, фамилия, имя отчество должностного лица уполномоченного органа.</w:t>
      </w:r>
    </w:p>
    <w:p w14:paraId="49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2.9. В случае выявления заявителем в выданном уполномоченным органом согласии опечаток и (или) ошибок заявитель представляет заявление об исправлении таких опечаток и (или) ошибок.</w:t>
      </w:r>
    </w:p>
    <w:p w14:paraId="4A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Заявление об исправлении допущенных опечаток и (или) ошибок должно содержать сведения, предусмотренные пунктом 2.3 настоящего  Порядка.</w:t>
      </w:r>
    </w:p>
    <w:p w14:paraId="4B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Помимо сведений, предусмотренных пунктом 2.3 настоящего Порядка, заявление должно содержать краткое описание опечатки или ошибки в выданном уполномоченным органом согласии.</w:t>
      </w:r>
    </w:p>
    <w:p w14:paraId="4C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К заявлению прилагаются документы, на основании которых опечатки и (или) ошибки подлежат исправлению.</w:t>
      </w:r>
    </w:p>
    <w:p w14:paraId="4D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Срок исправления таких опечаток и (или) ошибок составляет не более 15 рабочих дней со дня поступления заявления.</w:t>
      </w:r>
    </w:p>
    <w:p w14:paraId="4E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2.10. В случае порчи или утраты ранее выданного уполномоченным органом согласия предусматривается возможность предоставления заявителю дубликата согласия.</w:t>
      </w:r>
    </w:p>
    <w:p w14:paraId="4F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Заявление о выдаче дубликата согласия должно содержать сведения, предусмотренные пунктом 2.3 настоящего Порядка.</w:t>
      </w:r>
    </w:p>
    <w:p w14:paraId="50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К заявлению прилагаются документы, являющиеся основанием для выдачи дубликата согласия.</w:t>
      </w:r>
    </w:p>
    <w:p w14:paraId="51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Срок представления дубликата согласия - не более 15 рабочих дней со дня поступления заявления о получении дубликата.</w:t>
      </w:r>
    </w:p>
    <w:p w14:paraId="52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Основанием для отказа в выдаче дубликата согласия являются:</w:t>
      </w:r>
    </w:p>
    <w:p w14:paraId="53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отсутствие сведений о ранее выданном согласии или отсутствие в заявлении информации, позволяющей идентифицировать ранее выданное согласие;</w:t>
      </w:r>
    </w:p>
    <w:p w14:paraId="54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представление заявления неуполномоченным лицом.</w:t>
      </w:r>
    </w:p>
    <w:p w14:paraId="55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2.11. Предусматривается возможность внесения изменений в выданное уполномоченным органом согласие, в том числе продление срока действия согласия.</w:t>
      </w:r>
    </w:p>
    <w:p w14:paraId="56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Заявление о внесении изменений в ранее выданное уполномоченным органом согласие должно содержать сведения, предусмотренные пунктом 2.3 настоящего Порядка.</w:t>
      </w:r>
    </w:p>
    <w:p w14:paraId="57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К заявлению прилагаются документы, являющиеся основанием для внесения изменений в выданное ранее согласие.</w:t>
      </w:r>
    </w:p>
    <w:p w14:paraId="58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Срок внесения изменений в ранее выданное уполномоченным органом согласие - не более 15 рабочих дней со дня поступления заявления о внесении изменений.</w:t>
      </w:r>
    </w:p>
    <w:p w14:paraId="59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Основанием для отказа во внесении изменений в выданное уполномоченным органом согласие являются:</w:t>
      </w:r>
    </w:p>
    <w:p w14:paraId="5A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отсутствие в заявлении информации, позволяющей идентифицировать ранее выданное согласие;</w:t>
      </w:r>
    </w:p>
    <w:p w14:paraId="5B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представление заявления неуполномоченным лицом.</w:t>
      </w:r>
    </w:p>
    <w:p w14:paraId="5C000000">
      <w:pPr>
        <w:widowControl w:val="1"/>
        <w:ind w:firstLine="709"/>
        <w:jc w:val="center"/>
        <w:rPr>
          <w:rFonts w:ascii="Tinos" w:hAnsi="Tinos"/>
          <w:b w:val="1"/>
        </w:rPr>
      </w:pPr>
    </w:p>
    <w:p w14:paraId="5D000000">
      <w:pPr>
        <w:pStyle w:val="Style_2"/>
        <w:widowControl w:val="1"/>
        <w:ind w:firstLine="709"/>
        <w:jc w:val="center"/>
        <w:rPr>
          <w:rFonts w:ascii="Tinos" w:hAnsi="Tinos"/>
          <w:b w:val="1"/>
        </w:rPr>
      </w:pPr>
      <w:r>
        <w:rPr>
          <w:rFonts w:ascii="Tinos" w:hAnsi="Tinos"/>
          <w:b w:val="1"/>
        </w:rPr>
        <w:t xml:space="preserve">3. Контроль за выполнением Порядка </w:t>
      </w:r>
      <w:r>
        <w:rPr>
          <w:rFonts w:ascii="Tinos" w:hAnsi="Tinos"/>
          <w:b w:val="1"/>
        </w:rPr>
        <w:t>и ответственность за его нарушение</w:t>
      </w:r>
    </w:p>
    <w:p w14:paraId="5E000000">
      <w:pPr>
        <w:pStyle w:val="Style_2"/>
        <w:widowControl w:val="1"/>
        <w:ind w:firstLine="709"/>
        <w:rPr>
          <w:rFonts w:ascii="Tinos" w:hAnsi="Tinos"/>
        </w:rPr>
      </w:pPr>
    </w:p>
    <w:p w14:paraId="5F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3.1. Лица, осуществляющие строительство, реконструкцию, капитальный ремонт, ремонт пересечений или примыканий без пре</w:t>
      </w:r>
      <w:r>
        <w:rPr>
          <w:rFonts w:ascii="Tinos" w:hAnsi="Tinos"/>
        </w:rPr>
        <w:t>дусмотренного пунктом 1.7 настоящего Порядка согласия или с нарушением технических требований и условий, подлежащих обязательному исполнению, по требованию органа, уполномоченного на осуществление государственного строительного надзора, и (или) уполномочен</w:t>
      </w:r>
      <w:r>
        <w:rPr>
          <w:rFonts w:ascii="Tinos" w:hAnsi="Tinos"/>
        </w:rPr>
        <w:t>ного органа обязаны прекратить строительство, реконструкцию, капитальный ремонт, ремонт пересечений и примыканий, осуществить снос незаконно возведенных сооружений, иных объектов и привести автомобильную дорогу местного значения в первоначальное состояние.</w:t>
      </w:r>
    </w:p>
    <w:p w14:paraId="60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3.2. Лица, осуществляющие строител</w:t>
      </w:r>
      <w:r>
        <w:rPr>
          <w:rFonts w:ascii="Tinos" w:hAnsi="Tinos"/>
        </w:rPr>
        <w:t>ьство, реконструкцию, капитальный ремонт, ремонт пересечений или примыканий, нарушившие законодательство Российской Федерации об автомобильных дорогах и о дорожной деятельности, несут ответственность в соответствии с законодательством Российской Федерации.</w:t>
      </w:r>
    </w:p>
    <w:p w14:paraId="61000000">
      <w:pPr>
        <w:pStyle w:val="Style_2"/>
        <w:widowControl w:val="1"/>
        <w:ind w:firstLine="709"/>
        <w:rPr>
          <w:rFonts w:ascii="Tinos" w:hAnsi="Tinos"/>
        </w:rPr>
      </w:pPr>
    </w:p>
    <w:p w14:paraId="62000000">
      <w:pPr>
        <w:pStyle w:val="Style_2"/>
        <w:widowControl w:val="1"/>
        <w:ind w:firstLine="709"/>
        <w:jc w:val="center"/>
        <w:rPr>
          <w:rFonts w:ascii="Tinos" w:hAnsi="Tinos"/>
          <w:b w:val="1"/>
        </w:rPr>
      </w:pPr>
      <w:r>
        <w:rPr>
          <w:rFonts w:ascii="Tinos" w:hAnsi="Tinos"/>
          <w:b w:val="1"/>
        </w:rPr>
        <w:t>4. Досудебный (внесудебный) порядок обжалования решений действий (бездействия) уполномоченного органа, а также его должностных лиц</w:t>
      </w:r>
    </w:p>
    <w:p w14:paraId="63000000">
      <w:pPr>
        <w:pStyle w:val="Style_2"/>
        <w:widowControl w:val="1"/>
        <w:ind w:firstLine="709"/>
        <w:rPr>
          <w:rFonts w:ascii="Tinos" w:hAnsi="Tinos"/>
        </w:rPr>
      </w:pPr>
    </w:p>
    <w:p w14:paraId="64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>4.1. Заявитель имеет право на досудебное (внесудебное) обжалование решений, действий (бездействия) уполномоченного органа, а также его должностных лиц.</w:t>
      </w:r>
    </w:p>
    <w:p w14:paraId="65000000">
      <w:pPr>
        <w:pStyle w:val="Style_2"/>
        <w:widowControl w:val="1"/>
        <w:ind w:firstLine="709"/>
        <w:rPr>
          <w:rFonts w:ascii="Tinos" w:hAnsi="Tinos"/>
        </w:rPr>
      </w:pPr>
      <w:r>
        <w:rPr>
          <w:rFonts w:ascii="Tinos" w:hAnsi="Tinos"/>
        </w:rPr>
        <w:t xml:space="preserve">4.2. Заявитель может обратиться с жалобой в администрацию </w:t>
      </w:r>
      <w:r>
        <w:rPr>
          <w:rFonts w:ascii="Tinos" w:hAnsi="Tinos"/>
        </w:rPr>
        <w:t>муниципального образования Ленинградский муниципальный округ Краснодарского края</w:t>
      </w:r>
      <w:r>
        <w:rPr>
          <w:rFonts w:ascii="Tinos" w:hAnsi="Tinos"/>
        </w:rPr>
        <w:t xml:space="preserve"> согласно </w:t>
      </w:r>
      <w:r>
        <w:rPr>
          <w:rFonts w:ascii="Tinos" w:hAnsi="Tinos"/>
        </w:rPr>
        <w:t>Инструкции о порядке рассмотрения обращений граждан в администрацию муниципального образования Ленинградский муниципальный округ Краснодарского края, утвержденной пос</w:t>
      </w:r>
      <w:r>
        <w:rPr>
          <w:rFonts w:ascii="Tinos" w:hAnsi="Tinos"/>
        </w:rPr>
        <w:t>тановлением администрации муниципального образования Ленинградский муниципальный округ Краснодарского края от 8 апреля 2025 г. № 385 «Об утверждении Инструкции о порядке рассмотрения обращений граждан в администрацию  Ленинградского муниципального округа».</w:t>
      </w:r>
    </w:p>
    <w:p w14:paraId="66000000">
      <w:pPr>
        <w:widowControl w:val="1"/>
        <w:ind w:firstLine="709"/>
        <w:rPr>
          <w:rFonts w:ascii="Tinos" w:hAnsi="Tinos"/>
        </w:rPr>
      </w:pPr>
    </w:p>
    <w:p w14:paraId="67000000">
      <w:pPr>
        <w:pStyle w:val="Style_2"/>
        <w:widowControl w:val="1"/>
        <w:ind w:firstLine="0"/>
        <w:rPr>
          <w:rFonts w:ascii="Tinos" w:hAnsi="Tinos"/>
        </w:rPr>
      </w:pPr>
      <w:r>
        <w:rPr>
          <w:rFonts w:ascii="Tinos" w:hAnsi="Tinos"/>
        </w:rPr>
        <w:t>Исполняющий обязанности</w:t>
      </w:r>
    </w:p>
    <w:p w14:paraId="68000000">
      <w:pPr>
        <w:pStyle w:val="Style_2"/>
        <w:widowControl w:val="1"/>
        <w:ind w:firstLine="0"/>
        <w:rPr>
          <w:rFonts w:ascii="Tinos" w:hAnsi="Tinos"/>
        </w:rPr>
      </w:pPr>
      <w:r>
        <w:rPr>
          <w:rFonts w:ascii="Tinos" w:hAnsi="Tinos"/>
        </w:rPr>
        <w:t xml:space="preserve">заместителя главы </w:t>
      </w:r>
    </w:p>
    <w:p w14:paraId="69000000">
      <w:pPr>
        <w:pStyle w:val="Style_2"/>
        <w:widowControl w:val="1"/>
        <w:ind w:firstLine="0"/>
        <w:rPr>
          <w:rFonts w:ascii="Tinos" w:hAnsi="Tinos"/>
        </w:rPr>
      </w:pPr>
      <w:r>
        <w:rPr>
          <w:rFonts w:ascii="Tinos" w:hAnsi="Tinos"/>
        </w:rPr>
        <w:t xml:space="preserve">Ленинградского </w:t>
      </w:r>
    </w:p>
    <w:p w14:paraId="6A000000">
      <w:pPr>
        <w:pStyle w:val="Style_2"/>
        <w:widowControl w:val="1"/>
        <w:ind w:firstLine="0"/>
        <w:rPr>
          <w:rFonts w:ascii="Tinos" w:hAnsi="Tinos"/>
        </w:rPr>
      </w:pPr>
      <w:r>
        <w:rPr>
          <w:rFonts w:ascii="Tinos" w:hAnsi="Tinos"/>
        </w:rPr>
        <w:t>муниципального округа                                                                   С.Н. Шмаровоз</w:t>
      </w:r>
    </w:p>
    <w:sectPr>
      <w:headerReference r:id="rId1" w:type="default"/>
      <w:type w:val="nextPage"/>
      <w:pgSz w:h="16838" w:orient="portrait" w:w="11906"/>
      <w:pgMar w:bottom="964" w:footer="1134" w:gutter="0" w:header="1134" w:left="1729" w:right="53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Subtitle Char"/>
    <w:basedOn w:val="Style_4"/>
    <w:link w:val="Style_3_ch"/>
    <w:rPr>
      <w:sz w:val="24"/>
    </w:rPr>
  </w:style>
  <w:style w:styleId="Style_3_ch" w:type="character">
    <w:name w:val="Subtitle Char"/>
    <w:basedOn w:val="Style_4_ch"/>
    <w:link w:val="Style_3"/>
    <w:rPr>
      <w:sz w:val="24"/>
    </w:rPr>
  </w:style>
  <w:style w:styleId="Style_5" w:type="paragraph">
    <w:name w:val="Heading 2 Char"/>
    <w:basedOn w:val="Style_4"/>
    <w:link w:val="Style_5_ch"/>
    <w:rPr>
      <w:rFonts w:ascii="Liberation Sans" w:hAnsi="Liberation Sans"/>
      <w:sz w:val="34"/>
    </w:rPr>
  </w:style>
  <w:style w:styleId="Style_5_ch" w:type="character">
    <w:name w:val="Heading 2 Char"/>
    <w:basedOn w:val="Style_4_ch"/>
    <w:link w:val="Style_5"/>
    <w:rPr>
      <w:rFonts w:ascii="Liberation Sans" w:hAnsi="Liberation Sans"/>
      <w:sz w:val="34"/>
    </w:rPr>
  </w:style>
  <w:style w:styleId="Style_6" w:type="paragraph">
    <w:name w:val="toc 2"/>
    <w:next w:val="Style_2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able of figures"/>
    <w:basedOn w:val="Style_2"/>
    <w:next w:val="Style_2"/>
    <w:link w:val="Style_7_ch"/>
    <w:pPr>
      <w:widowControl w:val="1"/>
      <w:spacing w:after="0"/>
      <w:ind/>
    </w:pPr>
  </w:style>
  <w:style w:styleId="Style_7_ch" w:type="character">
    <w:name w:val="table of figures"/>
    <w:basedOn w:val="Style_2_ch"/>
    <w:link w:val="Style_7"/>
  </w:style>
  <w:style w:styleId="Style_8" w:type="paragraph">
    <w:name w:val="toc 4"/>
    <w:next w:val="Style_2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2"/>
    <w:next w:val="Style_2"/>
    <w:link w:val="Style_9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9_ch" w:type="character">
    <w:name w:val="heading 7"/>
    <w:basedOn w:val="Style_2_ch"/>
    <w:link w:val="Style_9"/>
    <w:rPr>
      <w:rFonts w:ascii="Liberation Sans" w:hAnsi="Liberation Sans"/>
      <w:b w:val="1"/>
      <w:i w:val="1"/>
      <w:sz w:val="22"/>
    </w:rPr>
  </w:style>
  <w:style w:styleId="Style_10" w:type="paragraph">
    <w:name w:val="toc 6"/>
    <w:next w:val="Style_2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2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basedOn w:val="Style_2"/>
    <w:link w:val="Style_12_ch"/>
    <w:pPr>
      <w:widowControl w:val="1"/>
      <w:spacing w:after="0" w:line="240" w:lineRule="auto"/>
      <w:ind/>
    </w:pPr>
    <w:rPr>
      <w:sz w:val="20"/>
    </w:rPr>
  </w:style>
  <w:style w:styleId="Style_12_ch" w:type="character">
    <w:name w:val="Endnote"/>
    <w:basedOn w:val="Style_2_ch"/>
    <w:link w:val="Style_12"/>
    <w:rPr>
      <w:sz w:val="20"/>
    </w:rPr>
  </w:style>
  <w:style w:styleId="Style_13" w:type="paragraph">
    <w:name w:val="heading 3"/>
    <w:next w:val="Style_2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footnote reference"/>
    <w:basedOn w:val="Style_4"/>
    <w:link w:val="Style_14_ch"/>
    <w:rPr>
      <w:vertAlign w:val="superscript"/>
    </w:rPr>
  </w:style>
  <w:style w:styleId="Style_14_ch" w:type="character">
    <w:name w:val="footnote reference"/>
    <w:basedOn w:val="Style_4_ch"/>
    <w:link w:val="Style_14"/>
    <w:rPr>
      <w:vertAlign w:val="superscript"/>
    </w:rPr>
  </w:style>
  <w:style w:styleId="Style_15" w:type="paragraph">
    <w:name w:val="No Spacing"/>
    <w:link w:val="Style_15_ch"/>
    <w:pPr>
      <w:widowControl w:val="1"/>
      <w:spacing w:after="0" w:before="0" w:line="240" w:lineRule="auto"/>
      <w:ind/>
    </w:pPr>
  </w:style>
  <w:style w:styleId="Style_15_ch" w:type="character">
    <w:name w:val="No Spacing"/>
    <w:link w:val="Style_15"/>
  </w:style>
  <w:style w:styleId="Style_16" w:type="paragraph">
    <w:name w:val="heading 9"/>
    <w:basedOn w:val="Style_2"/>
    <w:next w:val="Style_2"/>
    <w:link w:val="Style_16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16_ch" w:type="character">
    <w:name w:val="heading 9"/>
    <w:basedOn w:val="Style_2_ch"/>
    <w:link w:val="Style_16"/>
    <w:rPr>
      <w:rFonts w:ascii="Liberation Sans" w:hAnsi="Liberation Sans"/>
      <w:i w:val="1"/>
      <w:sz w:val="21"/>
    </w:rPr>
  </w:style>
  <w:style w:styleId="Style_17" w:type="paragraph">
    <w:name w:val="Intense Quote"/>
    <w:basedOn w:val="Style_2"/>
    <w:next w:val="Style_2"/>
    <w:link w:val="Style_17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  <w:contextualSpacing w:val="0"/>
    </w:pPr>
    <w:rPr>
      <w:i w:val="1"/>
    </w:rPr>
  </w:style>
  <w:style w:styleId="Style_17_ch" w:type="character">
    <w:name w:val="Intense Quote"/>
    <w:basedOn w:val="Style_2_ch"/>
    <w:link w:val="Style_17"/>
    <w:rPr>
      <w:i w:val="1"/>
    </w:rPr>
  </w:style>
  <w:style w:styleId="Style_18" w:type="paragraph">
    <w:name w:val="Title Char"/>
    <w:basedOn w:val="Style_4"/>
    <w:link w:val="Style_18_ch"/>
    <w:rPr>
      <w:sz w:val="48"/>
    </w:rPr>
  </w:style>
  <w:style w:styleId="Style_18_ch" w:type="character">
    <w:name w:val="Title Char"/>
    <w:basedOn w:val="Style_4_ch"/>
    <w:link w:val="Style_18"/>
    <w:rPr>
      <w:sz w:val="48"/>
    </w:rPr>
  </w:style>
  <w:style w:styleId="Style_19" w:type="paragraph">
    <w:name w:val="toc 3"/>
    <w:next w:val="Style_2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Heading 3 Char"/>
    <w:basedOn w:val="Style_4"/>
    <w:link w:val="Style_20_ch"/>
    <w:rPr>
      <w:rFonts w:ascii="Liberation Sans" w:hAnsi="Liberation Sans"/>
      <w:sz w:val="30"/>
    </w:rPr>
  </w:style>
  <w:style w:styleId="Style_20_ch" w:type="character">
    <w:name w:val="Heading 3 Char"/>
    <w:basedOn w:val="Style_4_ch"/>
    <w:link w:val="Style_20"/>
    <w:rPr>
      <w:rFonts w:ascii="Liberation Sans" w:hAnsi="Liberation Sans"/>
      <w:sz w:val="30"/>
    </w:rPr>
  </w:style>
  <w:style w:styleId="Style_21" w:type="paragraph">
    <w:name w:val="heading 5"/>
    <w:next w:val="Style_2"/>
    <w:link w:val="Style_2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Quote"/>
    <w:basedOn w:val="Style_2"/>
    <w:next w:val="Style_2"/>
    <w:link w:val="Style_22_ch"/>
    <w:pPr>
      <w:widowControl w:val="1"/>
      <w:ind w:left="720" w:right="720"/>
    </w:pPr>
    <w:rPr>
      <w:i w:val="1"/>
    </w:rPr>
  </w:style>
  <w:style w:styleId="Style_22_ch" w:type="character">
    <w:name w:val="Quote"/>
    <w:basedOn w:val="Style_2_ch"/>
    <w:link w:val="Style_22"/>
    <w:rPr>
      <w:i w:val="1"/>
    </w:rPr>
  </w:style>
  <w:style w:styleId="Style_23" w:type="paragraph">
    <w:name w:val="End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Endnote"/>
    <w:link w:val="Style_23"/>
    <w:rPr>
      <w:rFonts w:ascii="XO Thames" w:hAnsi="XO Thames"/>
      <w:sz w:val="22"/>
    </w:rPr>
  </w:style>
  <w:style w:styleId="Style_24" w:type="paragraph">
    <w:name w:val="Footer"/>
    <w:basedOn w:val="Style_2"/>
    <w:link w:val="Style_24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24_ch" w:type="character">
    <w:name w:val="Footer"/>
    <w:basedOn w:val="Style_2_ch"/>
    <w:link w:val="Style_24"/>
  </w:style>
  <w:style w:styleId="Style_25" w:type="paragraph">
    <w:name w:val="heading 1"/>
    <w:next w:val="Style_2"/>
    <w:link w:val="Style_2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5_ch" w:type="character">
    <w:name w:val="heading 1"/>
    <w:link w:val="Style_25"/>
    <w:rPr>
      <w:rFonts w:ascii="XO Thames" w:hAnsi="XO Thames"/>
      <w:b w:val="1"/>
      <w:sz w:val="32"/>
    </w:rPr>
  </w:style>
  <w:style w:styleId="Style_26" w:type="paragraph">
    <w:name w:val="Heading 4 Char"/>
    <w:basedOn w:val="Style_4"/>
    <w:link w:val="Style_26_ch"/>
    <w:rPr>
      <w:rFonts w:ascii="Liberation Sans" w:hAnsi="Liberation Sans"/>
      <w:b w:val="1"/>
      <w:sz w:val="26"/>
    </w:rPr>
  </w:style>
  <w:style w:styleId="Style_26_ch" w:type="character">
    <w:name w:val="Heading 4 Char"/>
    <w:basedOn w:val="Style_4_ch"/>
    <w:link w:val="Style_26"/>
    <w:rPr>
      <w:rFonts w:ascii="Liberation Sans" w:hAnsi="Liberation Sans"/>
      <w:b w:val="1"/>
      <w:sz w:val="26"/>
    </w:rPr>
  </w:style>
  <w:style w:styleId="Style_27" w:type="paragraph">
    <w:name w:val="Hyperlink"/>
    <w:link w:val="Style_27_ch"/>
    <w:rPr>
      <w:color w:val="0000FF"/>
      <w:u w:val="single"/>
    </w:rPr>
  </w:style>
  <w:style w:styleId="Style_27_ch" w:type="character">
    <w:name w:val="Hyperlink"/>
    <w:link w:val="Style_27"/>
    <w:rPr>
      <w:color w:val="0000FF"/>
      <w:u w:val="single"/>
    </w:rPr>
  </w:style>
  <w:style w:styleId="Style_28" w:type="paragraph">
    <w:name w:val="Footnote"/>
    <w:link w:val="Style_2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Footnote"/>
    <w:link w:val="Style_28"/>
    <w:rPr>
      <w:rFonts w:ascii="XO Thames" w:hAnsi="XO Thames"/>
      <w:sz w:val="22"/>
    </w:rPr>
  </w:style>
  <w:style w:styleId="Style_29" w:type="paragraph">
    <w:name w:val="heading 8"/>
    <w:basedOn w:val="Style_2"/>
    <w:next w:val="Style_2"/>
    <w:link w:val="Style_29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29_ch" w:type="character">
    <w:name w:val="heading 8"/>
    <w:basedOn w:val="Style_2_ch"/>
    <w:link w:val="Style_29"/>
    <w:rPr>
      <w:rFonts w:ascii="Liberation Sans" w:hAnsi="Liberation Sans"/>
      <w:i w:val="1"/>
      <w:sz w:val="22"/>
    </w:rPr>
  </w:style>
  <w:style w:styleId="Style_30" w:type="paragraph">
    <w:name w:val="Heading 1 Char"/>
    <w:basedOn w:val="Style_4"/>
    <w:link w:val="Style_30_ch"/>
    <w:rPr>
      <w:rFonts w:ascii="Liberation Sans" w:hAnsi="Liberation Sans"/>
      <w:sz w:val="40"/>
    </w:rPr>
  </w:style>
  <w:style w:styleId="Style_30_ch" w:type="character">
    <w:name w:val="Heading 1 Char"/>
    <w:basedOn w:val="Style_4_ch"/>
    <w:link w:val="Style_30"/>
    <w:rPr>
      <w:rFonts w:ascii="Liberation Sans" w:hAnsi="Liberation Sans"/>
      <w:sz w:val="40"/>
    </w:rPr>
  </w:style>
  <w:style w:styleId="Style_31" w:type="paragraph">
    <w:name w:val="toc 1"/>
    <w:next w:val="Style_2"/>
    <w:link w:val="Style_3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32" w:type="paragraph">
    <w:name w:val="Footnote"/>
    <w:basedOn w:val="Style_2"/>
    <w:link w:val="Style_32_ch"/>
    <w:pPr>
      <w:widowControl w:val="1"/>
      <w:spacing w:after="40" w:line="240" w:lineRule="auto"/>
      <w:ind/>
    </w:pPr>
    <w:rPr>
      <w:sz w:val="18"/>
    </w:rPr>
  </w:style>
  <w:style w:styleId="Style_32_ch" w:type="character">
    <w:name w:val="Footnote"/>
    <w:basedOn w:val="Style_2_ch"/>
    <w:link w:val="Style_32"/>
    <w:rPr>
      <w:sz w:val="18"/>
    </w:rPr>
  </w:style>
  <w:style w:styleId="Style_33" w:type="paragraph">
    <w:name w:val="toc 9"/>
    <w:next w:val="Style_2"/>
    <w:link w:val="Style_3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34" w:type="paragraph">
    <w:name w:val="Caption"/>
    <w:basedOn w:val="Style_2"/>
    <w:next w:val="Style_2"/>
    <w:link w:val="Style_34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34_ch" w:type="character">
    <w:name w:val="Caption"/>
    <w:basedOn w:val="Style_2_ch"/>
    <w:link w:val="Style_34"/>
    <w:rPr>
      <w:b w:val="1"/>
      <w:color w:themeColor="accent1" w:val="4F81BD"/>
      <w:sz w:val="18"/>
    </w:rPr>
  </w:style>
  <w:style w:styleId="Style_35" w:type="paragraph">
    <w:name w:val="toc 8"/>
    <w:next w:val="Style_2"/>
    <w:link w:val="Style_3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36" w:type="paragraph">
    <w:name w:val="endnote reference"/>
    <w:basedOn w:val="Style_4"/>
    <w:link w:val="Style_36_ch"/>
    <w:rPr>
      <w:vertAlign w:val="superscript"/>
    </w:rPr>
  </w:style>
  <w:style w:styleId="Style_36_ch" w:type="character">
    <w:name w:val="endnote reference"/>
    <w:basedOn w:val="Style_4_ch"/>
    <w:link w:val="Style_36"/>
    <w:rPr>
      <w:vertAlign w:val="superscript"/>
    </w:rPr>
  </w:style>
  <w:style w:styleId="Style_37" w:type="paragraph">
    <w:name w:val="toc 5"/>
    <w:next w:val="Style_2"/>
    <w:link w:val="Style_3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7_ch" w:type="character">
    <w:name w:val="toc 5"/>
    <w:link w:val="Style_37"/>
    <w:rPr>
      <w:rFonts w:ascii="XO Thames" w:hAnsi="XO Thames"/>
      <w:sz w:val="28"/>
    </w:rPr>
  </w:style>
  <w:style w:styleId="Style_38" w:type="paragraph">
    <w:name w:val="List Paragraph"/>
    <w:basedOn w:val="Style_2"/>
    <w:link w:val="Style_38_ch"/>
    <w:pPr>
      <w:widowControl w:val="1"/>
      <w:ind w:left="720"/>
      <w:contextualSpacing w:val="1"/>
    </w:pPr>
  </w:style>
  <w:style w:styleId="Style_38_ch" w:type="character">
    <w:name w:val="List Paragraph"/>
    <w:basedOn w:val="Style_2_ch"/>
    <w:link w:val="Style_38"/>
  </w:style>
  <w:style w:styleId="Style_39" w:type="paragraph">
    <w:name w:val="TOC Heading"/>
    <w:link w:val="Style_39_ch"/>
  </w:style>
  <w:style w:styleId="Style_39_ch" w:type="character">
    <w:name w:val="TOC Heading"/>
    <w:link w:val="Style_39"/>
  </w:style>
  <w:style w:styleId="Style_40" w:type="paragraph">
    <w:name w:val="Subtitle"/>
    <w:next w:val="Style_2"/>
    <w:link w:val="Style_4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40_ch" w:type="character">
    <w:name w:val="Subtitle"/>
    <w:link w:val="Style_40"/>
    <w:rPr>
      <w:rFonts w:ascii="XO Thames" w:hAnsi="XO Thames"/>
      <w:i w:val="1"/>
      <w:sz w:val="24"/>
    </w:rPr>
  </w:style>
  <w:style w:styleId="Style_41" w:type="paragraph">
    <w:name w:val="Header"/>
    <w:basedOn w:val="Style_2"/>
    <w:link w:val="Style_41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41_ch" w:type="character">
    <w:name w:val="Header"/>
    <w:basedOn w:val="Style_2_ch"/>
    <w:link w:val="Style_41"/>
  </w:style>
  <w:style w:styleId="Style_42" w:type="paragraph">
    <w:name w:val="Title"/>
    <w:next w:val="Style_2"/>
    <w:link w:val="Style_4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2_ch" w:type="character">
    <w:name w:val="Title"/>
    <w:link w:val="Style_42"/>
    <w:rPr>
      <w:rFonts w:ascii="XO Thames" w:hAnsi="XO Thames"/>
      <w:b w:val="1"/>
      <w:caps w:val="1"/>
      <w:sz w:val="40"/>
    </w:rPr>
  </w:style>
  <w:style w:styleId="Style_43" w:type="paragraph">
    <w:name w:val="heading 4"/>
    <w:next w:val="Style_2"/>
    <w:link w:val="Style_4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3_ch" w:type="character">
    <w:name w:val="heading 4"/>
    <w:link w:val="Style_43"/>
    <w:rPr>
      <w:rFonts w:ascii="XO Thames" w:hAnsi="XO Thames"/>
      <w:b w:val="1"/>
      <w:sz w:val="24"/>
    </w:rPr>
  </w:style>
  <w:style w:styleId="Style_44" w:type="paragraph">
    <w:name w:val="Heading 5 Char"/>
    <w:basedOn w:val="Style_4"/>
    <w:link w:val="Style_44_ch"/>
    <w:rPr>
      <w:rFonts w:ascii="Liberation Sans" w:hAnsi="Liberation Sans"/>
      <w:b w:val="1"/>
      <w:sz w:val="24"/>
    </w:rPr>
  </w:style>
  <w:style w:styleId="Style_44_ch" w:type="character">
    <w:name w:val="Heading 5 Char"/>
    <w:basedOn w:val="Style_4_ch"/>
    <w:link w:val="Style_44"/>
    <w:rPr>
      <w:rFonts w:ascii="Liberation Sans" w:hAnsi="Liberation Sans"/>
      <w:b w:val="1"/>
      <w:sz w:val="24"/>
    </w:rPr>
  </w:style>
  <w:style w:styleId="Style_45" w:type="paragraph">
    <w:name w:val="heading 2"/>
    <w:next w:val="Style_2"/>
    <w:link w:val="Style_4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5_ch" w:type="character">
    <w:name w:val="heading 2"/>
    <w:link w:val="Style_45"/>
    <w:rPr>
      <w:rFonts w:ascii="XO Thames" w:hAnsi="XO Thames"/>
      <w:b w:val="1"/>
      <w:sz w:val="28"/>
    </w:rPr>
  </w:style>
  <w:style w:styleId="Style_46" w:type="paragraph">
    <w:name w:val="heading 6"/>
    <w:basedOn w:val="Style_2"/>
    <w:next w:val="Style_2"/>
    <w:link w:val="Style_46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46_ch" w:type="character">
    <w:name w:val="heading 6"/>
    <w:basedOn w:val="Style_2_ch"/>
    <w:link w:val="Style_46"/>
    <w:rPr>
      <w:rFonts w:ascii="Liberation Sans" w:hAnsi="Liberation Sans"/>
      <w:b w:val="1"/>
      <w:sz w:val="22"/>
    </w:rPr>
  </w:style>
  <w:style w:styleId="Style_47" w:type="table">
    <w:name w:val="Grid Table 2 - Accent 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48" w:type="table">
    <w:name w:val="Grid Table 7 Colorful - Accent 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49" w:type="table">
    <w:name w:val="List Table 4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50" w:type="table">
    <w:name w:val="List Table 7 Colorful - Accent 3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51" w:type="table">
    <w:name w:val="List Table 6 Colorful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52" w:type="table">
    <w:name w:val="Grid Table 3 - Accent 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53" w:type="table">
    <w:name w:val="List Table 1 Light - Accent 6"/>
    <w:pPr>
      <w:widowControl w:val="1"/>
      <w:spacing w:after="0" w:line="240" w:lineRule="auto"/>
      <w:ind/>
    </w:pPr>
    <w:tblPr>
      <w:tblInd w:type="dxa" w:w="0"/>
    </w:tblPr>
  </w:style>
  <w:style w:styleId="Style_54" w:type="table">
    <w:name w:val="List Table 2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55" w:type="table">
    <w:name w:val="List Table 7 Colorful - Accent 1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56" w:type="table">
    <w:name w:val="List Table 6 Colorful - Accent 1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57" w:type="table">
    <w:name w:val="Lined - Accent 4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58" w:type="table">
    <w:name w:val="Grid Table 2 - Accent 1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59" w:type="table">
    <w:name w:val="List Table 3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60" w:type="table">
    <w:name w:val="List Table 1 Light - Accent 2"/>
    <w:pPr>
      <w:widowControl w:val="1"/>
      <w:spacing w:after="0" w:line="240" w:lineRule="auto"/>
      <w:ind/>
    </w:pPr>
    <w:tblPr>
      <w:tblInd w:type="dxa" w:w="0"/>
    </w:tblPr>
  </w:style>
  <w:style w:styleId="Style_61" w:type="table">
    <w:name w:val="Grid Table 7 Colorful - Accent 5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62" w:type="table">
    <w:name w:val="Grid Table 2 - Accent 2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3" w:type="table">
    <w:name w:val="Table Grid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4" w:type="table">
    <w:name w:val="Grid Table 5 Dark- Accent 4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5" w:type="table">
    <w:name w:val="Grid Table 3 - Accent 5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66" w:type="table">
    <w:name w:val="Grid Table 5 Dark - Accent 6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7" w:type="table">
    <w:name w:val="Grid Table 3 - Accent 2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8" w:type="table">
    <w:name w:val="Bordered &amp; Lined - Accent 5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69" w:type="table">
    <w:name w:val="Bordered &amp; Lined - Accent 1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70" w:type="table">
    <w:name w:val="Grid Table 4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71" w:type="table">
    <w:name w:val="List Table 7 Colorful - Accent 4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72" w:type="table">
    <w:name w:val="Grid Table 5 Dark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3" w:type="table">
    <w:name w:val="List Table 5 Dark - Accent 3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74" w:type="table">
    <w:name w:val="List Table 3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75" w:type="table">
    <w:name w:val="Lined - Accent 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76" w:type="table">
    <w:name w:val="List Table 3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77" w:type="table">
    <w:name w:val="List Table 4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78" w:type="table">
    <w:name w:val="Grid Table 6 Colorful - Accent 5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79" w:type="table">
    <w:name w:val="Lined - Accent 5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80" w:type="table">
    <w:name w:val="Bordered &amp; Lined - Accent 4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81" w:type="table">
    <w:name w:val="Grid Table 6 Colorful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82" w:type="table">
    <w:name w:val="Plain Table 5"/>
    <w:pPr>
      <w:widowControl w:val="1"/>
      <w:spacing w:after="0" w:line="240" w:lineRule="auto"/>
      <w:ind/>
    </w:pPr>
    <w:tblPr>
      <w:tblInd w:type="dxa" w:w="0"/>
    </w:tblPr>
  </w:style>
  <w:style w:styleId="Style_83" w:type="table">
    <w:name w:val="List Table 7 Colorful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84" w:type="table">
    <w:name w:val="List Table 3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85" w:type="table">
    <w:name w:val="Bordered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86" w:type="table">
    <w:name w:val="Grid Table 6 Colorful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7" w:type="table">
    <w:name w:val="List Table 6 Colorful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88" w:type="table">
    <w:name w:val="Grid Table 1 Light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89" w:type="table">
    <w:name w:val="Grid Table 5 Dark - Accent 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0" w:type="table">
    <w:name w:val="Grid Table 2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91" w:type="table">
    <w:name w:val="Grid Table 6 Colorful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2" w:type="table">
    <w:name w:val="Grid Table 2 - Accent 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3" w:type="table">
    <w:name w:val="Lined - Accent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94" w:type="table">
    <w:name w:val="Bordered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default="1" w:styleId="Style_95" w:type="table">
    <w:name w:val="Normal Table"/>
  </w:style>
  <w:style w:styleId="Style_96" w:type="table">
    <w:name w:val="Grid Table 1 Light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97" w:type="table">
    <w:name w:val="Bordered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98" w:type="table">
    <w:name w:val="Grid Table 5 Dark - Accent 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9" w:type="table">
    <w:name w:val="Plain Table 3"/>
    <w:pPr>
      <w:widowControl w:val="1"/>
      <w:spacing w:after="0" w:line="240" w:lineRule="auto"/>
      <w:ind/>
    </w:pPr>
    <w:tblPr>
      <w:tblInd w:type="dxa" w:w="0"/>
    </w:tblPr>
  </w:style>
  <w:style w:styleId="Style_100" w:type="table">
    <w:name w:val="Bordered &amp; Lined - Accent 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01" w:type="table">
    <w:name w:val="List Table 2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02" w:type="table">
    <w:name w:val="Grid Table 7 Colorful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03" w:type="table">
    <w:name w:val="Bordered &amp; Lined - Accent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04" w:type="table">
    <w:name w:val="List Table 5 Dark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05" w:type="table">
    <w:name w:val="List Table 4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06" w:type="table">
    <w:name w:val="Grid Table 4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07" w:type="table">
    <w:name w:val="List Table 4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08" w:type="table">
    <w:name w:val="Grid Table 1 Light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09" w:type="table">
    <w:name w:val="List Table 4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10" w:type="table">
    <w:name w:val="List Table 1 Light"/>
    <w:pPr>
      <w:widowControl w:val="1"/>
      <w:spacing w:after="0" w:line="240" w:lineRule="auto"/>
      <w:ind/>
    </w:pPr>
    <w:tblPr>
      <w:tblInd w:type="dxa" w:w="0"/>
    </w:tblPr>
  </w:style>
  <w:style w:styleId="Style_111" w:type="table">
    <w:name w:val="Lined - Accent 2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12" w:type="table">
    <w:name w:val="Grid Table 4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13" w:type="table">
    <w:name w:val="Grid Table 1 Light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4" w:type="table">
    <w:name w:val="Bordered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15" w:type="table">
    <w:name w:val="Bordered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6" w:type="table">
    <w:name w:val="List Table 6 Colorful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17" w:type="table">
    <w:name w:val="Bordered &amp; Lined - Accent 6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18" w:type="table">
    <w:name w:val="List Table 3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19" w:type="table">
    <w:name w:val="List Table 3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20" w:type="table">
    <w:name w:val="Bordered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1" w:type="table">
    <w:name w:val="List Table 1 Light - Accent 1"/>
    <w:pPr>
      <w:widowControl w:val="1"/>
      <w:spacing w:after="0" w:line="240" w:lineRule="auto"/>
      <w:ind/>
    </w:pPr>
    <w:tblPr>
      <w:tblInd w:type="dxa" w:w="0"/>
    </w:tblPr>
  </w:style>
  <w:style w:styleId="Style_122" w:type="table">
    <w:name w:val="Grid Table 6 Colorful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3" w:type="table">
    <w:name w:val="List Table 2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4" w:type="table">
    <w:name w:val="Grid Table 6 Colorful - Accent 6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25" w:type="table">
    <w:name w:val="Table Grid Light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List Table 1 Light - Accent 4"/>
    <w:pPr>
      <w:widowControl w:val="1"/>
      <w:spacing w:after="0" w:line="240" w:lineRule="auto"/>
      <w:ind/>
    </w:pPr>
    <w:tblPr>
      <w:tblInd w:type="dxa" w:w="0"/>
    </w:tblPr>
  </w:style>
  <w:style w:styleId="Style_127" w:type="table">
    <w:name w:val="List Table 4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28" w:type="table">
    <w:name w:val="Grid Table 2 - Accent 5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9" w:type="table">
    <w:name w:val="Grid Table 4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30" w:type="table">
    <w:name w:val="Grid Table 7 Colorful - Accent 6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31" w:type="table">
    <w:name w:val="Plain Table 2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List Table 1 Light - Accent 5"/>
    <w:pPr>
      <w:widowControl w:val="1"/>
      <w:spacing w:after="0" w:line="240" w:lineRule="auto"/>
      <w:ind/>
    </w:pPr>
    <w:tblPr>
      <w:tblInd w:type="dxa" w:w="0"/>
    </w:tblPr>
  </w:style>
  <w:style w:styleId="Style_133" w:type="table">
    <w:name w:val="List Table 5 Dark - Accent 6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34" w:type="table">
    <w:name w:val="List Table 5 Dark - Accent 1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35" w:type="table">
    <w:name w:val="Plain Table 4"/>
    <w:pPr>
      <w:widowControl w:val="1"/>
      <w:spacing w:after="0" w:line="240" w:lineRule="auto"/>
      <w:ind/>
    </w:pPr>
    <w:tblPr>
      <w:tblInd w:type="dxa" w:w="0"/>
    </w:tblPr>
  </w:style>
  <w:style w:styleId="Style_136" w:type="table">
    <w:name w:val="List Table 4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37" w:type="table">
    <w:name w:val="Lined - Accent 1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38" w:type="table">
    <w:name w:val="Grid Table 5 Dark- Accent 1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9" w:type="table">
    <w:name w:val="Grid Table 3 - Accent 6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40" w:type="table">
    <w:name w:val="List Table 2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41" w:type="table">
    <w:name w:val="List Table 3 - Accent 1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42" w:type="table">
    <w:name w:val="Grid Table 7 Colorful - Accent 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3" w:type="table">
    <w:name w:val="List Table 5 Dark - Accent 4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44" w:type="table">
    <w:name w:val="Grid Table 1 Light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45" w:type="table">
    <w:name w:val="List Table 6 Colorful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46" w:type="table">
    <w:name w:val="List Table 5 Dark - Accent 2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47" w:type="table">
    <w:name w:val="List Table 2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48" w:type="table">
    <w:name w:val="List Table 1 Light - Accent 3"/>
    <w:pPr>
      <w:widowControl w:val="1"/>
      <w:spacing w:after="0" w:line="240" w:lineRule="auto"/>
      <w:ind/>
    </w:pPr>
    <w:tblPr>
      <w:tblInd w:type="dxa" w:w="0"/>
    </w:tblPr>
  </w:style>
  <w:style w:styleId="Style_149" w:type="table">
    <w:name w:val="Grid Table 1 Light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50" w:type="table">
    <w:name w:val="Grid Table 3 - Accent 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1" w:type="table">
    <w:name w:val="Grid Table 3 - Accent 1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52" w:type="table">
    <w:name w:val="Grid Table 4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3" w:type="table">
    <w:name w:val="Bordered &amp; Lined - Accent 2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54" w:type="table">
    <w:name w:val="Plain Table 1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Grid Table 3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6" w:type="table">
    <w:name w:val="Grid Table 7 Colorful - Accent 2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7" w:type="table">
    <w:name w:val="Grid Table 4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58" w:type="table">
    <w:name w:val="List Table 6 Colorful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59" w:type="table">
    <w:name w:val="Lined - Accent 6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60" w:type="table">
    <w:name w:val="List Table 5 Dark - Accent 5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61" w:type="table">
    <w:name w:val="Grid Table 1 Light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62" w:type="table">
    <w:name w:val="Grid Table 6 Colorful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3" w:type="table">
    <w:name w:val="List Table 7 Colorful - Accent 2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64" w:type="table">
    <w:name w:val="List Table 2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65" w:type="table">
    <w:name w:val="List Table 2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66" w:type="table">
    <w:name w:val="Bordered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67" w:type="table">
    <w:name w:val="List Table 6 Colorful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68" w:type="table">
    <w:name w:val="Grid Table 7 Colorful - Accent 1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9" w:type="table">
    <w:name w:val="List Table 7 Colorful - Accent 6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70" w:type="table">
    <w:name w:val="Grid Table 2 - Accent 6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1" w:type="table">
    <w:name w:val="Grid Table 5 Dark - Accent 2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2" w:type="table">
    <w:name w:val="Grid Table 4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3" w:type="table">
    <w:name w:val="List Table 7 Colorful - Accent 5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2025-10-22T13:02:48Z</dcterms:created>
  <dcterms:modified xsi:type="dcterms:W3CDTF">2026-09-23T12:55:17Z</dcterms:modified>
</cp:coreProperties>
</file>