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095"/>
        <w:gridCol w:w="4582"/>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1095" w:type="dxa"/>
            <w:vAlign w:val="bottom"/>
            <w:textDirection w:val="lrTb"/>
            <w:noWrap/>
          </w:tcPr>
          <w:p>
            <w:pPr>
              <w:contextualSpacing/>
              <w:ind w:right="-288"/>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4582"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68</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cs="FreeSerif"/>
                <w:sz w:val="28"/>
                <w:szCs w:val="28"/>
              </w:rPr>
            </w:r>
          </w:p>
        </w:tc>
        <w:tc>
          <w:tcPr>
            <w:tcBorders>
              <w:top w:val="none" w:color="000000" w:sz="4" w:space="0"/>
              <w:left w:val="none" w:color="000000" w:sz="4" w:space="0"/>
              <w:right w:val="none" w:color="000000" w:sz="4" w:space="0"/>
            </w:tcBorders>
            <w:tcW w:w="8253" w:type="dxa"/>
            <w:textDirection w:val="lrTb"/>
            <w:noWrap w:val="false"/>
          </w:tcPr>
          <w:p>
            <w:pPr>
              <w:jc w:val="cente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jc w:val="cente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jc w:val="right"/>
        <w:rPr>
          <w:rFonts w:ascii="FreeSerif" w:hAnsi="FreeSerif" w:cs="FreeSerif"/>
          <w:vanish/>
          <w:sz w:val="28"/>
          <w:szCs w:val="28"/>
        </w:rPr>
      </w:pPr>
      <w:r>
        <w:rPr>
          <w:rFonts w:ascii="FreeSerif" w:hAnsi="FreeSerif" w:eastAsia="FreeSerif" w:cs="FreeSerif"/>
          <w:sz w:val="28"/>
          <w:szCs w:val="28"/>
        </w:rPr>
        <w:t xml:space="preserve">Тысяч рублей</w:t>
      </w:r>
      <w:r>
        <w:rPr>
          <w:rFonts w:ascii="FreeSerif" w:hAnsi="FreeSerif" w:cs="FreeSerif"/>
          <w:vanish/>
          <w:sz w:val="28"/>
          <w:szCs w:val="28"/>
        </w:rPr>
      </w:r>
    </w:p>
    <w:p>
      <w:pP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bl>
      <w:tblPr>
        <w:tblStyle w:val="688"/>
        <w:tblW w:w="9707" w:type="dxa"/>
        <w:tblInd w:w="108" w:type="dxa"/>
        <w:tblLayout w:type="fixed"/>
        <w:tblLook w:val="04A0" w:firstRow="1" w:lastRow="0" w:firstColumn="1" w:lastColumn="0" w:noHBand="0" w:noVBand="1"/>
      </w:tblPr>
      <w:tblGrid>
        <w:gridCol w:w="5387"/>
        <w:gridCol w:w="2302"/>
        <w:gridCol w:w="992"/>
        <w:gridCol w:w="1026"/>
      </w:tblGrid>
      <w:tr>
        <w:tblPrEx/>
        <w:trPr>
          <w:trHeight w:val="862"/>
        </w:trPr>
        <w:tc>
          <w:tcPr>
            <w:tcW w:w="5387" w:type="dxa"/>
            <w:textDirection w:val="lrTb"/>
            <w:noWrap w:val="false"/>
          </w:tcPr>
          <w:p>
            <w:pPr>
              <w:jc w:val="center"/>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p>
        </w:tc>
        <w:tc>
          <w:tcPr>
            <w:tcW w:w="2302" w:type="dxa"/>
            <w:textDirection w:val="lrTb"/>
            <w:noWrap/>
          </w:tcPr>
          <w:p>
            <w:pPr>
              <w:jc w:val="center"/>
              <w:rPr>
                <w:rFonts w:ascii="FreeSerif" w:hAnsi="FreeSerif" w:cs="FreeSerif"/>
                <w:sz w:val="24"/>
                <w:szCs w:val="24"/>
              </w:rPr>
            </w:pPr>
            <w:r>
              <w:rPr>
                <w:rFonts w:ascii="FreeSerif" w:hAnsi="FreeSerif" w:eastAsia="FreeSerif" w:cs="FreeSerif"/>
                <w:bCs/>
                <w:sz w:val="24"/>
                <w:szCs w:val="24"/>
              </w:rPr>
              <w:t xml:space="preserve">Классификация доходов</w:t>
            </w:r>
            <w:r>
              <w:rPr>
                <w:rFonts w:ascii="FreeSerif" w:hAnsi="FreeSerif" w:cs="FreeSerif"/>
                <w:sz w:val="24"/>
                <w:szCs w:val="24"/>
              </w:rPr>
            </w:r>
          </w:p>
        </w:tc>
        <w:tc>
          <w:tcPr>
            <w:tcW w:w="992" w:type="dxa"/>
            <w:textDirection w:val="lrTb"/>
            <w:noWrap w:val="false"/>
          </w:tcPr>
          <w:p>
            <w:pPr>
              <w:jc w:val="center"/>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026" w:type="dxa"/>
            <w:textDirection w:val="lrTb"/>
            <w:noWrap w:val="false"/>
          </w:tcPr>
          <w:p>
            <w:pPr>
              <w:jc w:val="center"/>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9 365,4</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w:t>
            </w:r>
            <w:r>
              <w:rPr>
                <w:rFonts w:ascii="FreeSerif" w:hAnsi="FreeSerif" w:eastAsia="FreeSerif" w:cs="FreeSerif"/>
                <w:sz w:val="24"/>
                <w:szCs w:val="24"/>
              </w:rPr>
              <w:t xml:space="preserve"> </w:t>
            </w:r>
            <w:r>
              <w:rPr>
                <w:rFonts w:ascii="FreeSerif" w:hAnsi="FreeSerif" w:eastAsia="FreeSerif" w:cs="FreeSerif"/>
                <w:sz w:val="24"/>
                <w:szCs w:val="24"/>
              </w:rPr>
              <w:t xml:space="preserve">743</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6 736,0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w:t>
            </w:r>
            <w:r>
              <w:rPr>
                <w:rFonts w:ascii="FreeSerif" w:hAnsi="FreeSerif" w:eastAsia="FreeSerif" w:cs="FreeSerif"/>
                <w:sz w:val="24"/>
                <w:szCs w:val="24"/>
              </w:rPr>
              <w:t xml:space="preserve"> </w:t>
            </w:r>
            <w:r>
              <w:rPr>
                <w:rFonts w:ascii="FreeSerif" w:hAnsi="FreeSerif" w:eastAsia="FreeSerif" w:cs="FreeSerif"/>
                <w:sz w:val="24"/>
                <w:szCs w:val="24"/>
              </w:rPr>
              <w:t xml:space="preserve">113</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3 397,5</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737</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3 397,5</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 </w:t>
            </w:r>
            <w:r>
              <w:rPr>
                <w:rFonts w:ascii="FreeSerif" w:hAnsi="FreeSerif" w:eastAsia="FreeSerif" w:cs="FreeSerif"/>
                <w:sz w:val="24"/>
                <w:szCs w:val="24"/>
              </w:rPr>
              <w:t xml:space="preserve">737</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763,0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764</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763</w:t>
            </w:r>
            <w:r>
              <w:rPr>
                <w:rFonts w:ascii="FreeSerif" w:hAnsi="FreeSerif" w:eastAsia="FreeSerif" w:cs="FreeSerif"/>
                <w:sz w:val="24"/>
                <w:szCs w:val="24"/>
              </w:rPr>
              <w:t xml:space="preserve">,</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764</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283,5</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284</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283,5</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284</w:t>
            </w:r>
            <w:r>
              <w:rPr>
                <w:rFonts w:ascii="FreeSerif" w:hAnsi="FreeSerif" w:eastAsia="FreeSerif" w:cs="FreeSerif"/>
                <w:sz w:val="24"/>
                <w:szCs w:val="24"/>
              </w:rPr>
              <w:t xml:space="preserve">,7</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2 182,0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217</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253,0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255</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1 929,0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961</w:t>
            </w:r>
            <w:r>
              <w:rPr>
                <w:rFonts w:ascii="FreeSerif" w:hAnsi="FreeSerif" w:eastAsia="FreeSerif" w:cs="FreeSerif"/>
                <w:sz w:val="24"/>
                <w:szCs w:val="24"/>
              </w:rPr>
              <w:t xml:space="preserve">,6</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856,0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857</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1 073,0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104</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Платежи в целях возмещения причиненного ущерба (убытков)</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11610000000000140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w:t>
            </w:r>
            <w:r>
              <w:rPr>
                <w:rFonts w:ascii="FreeSerif" w:hAnsi="FreeSerif" w:eastAsia="FreeSerif" w:cs="FreeSerif"/>
                <w:sz w:val="24"/>
                <w:szCs w:val="24"/>
              </w:rPr>
              <w:t xml:space="preserve">учреждениями, унитарными предприятиями)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11610030100000140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110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2 629,4</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629</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1 914,4</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914</w:t>
            </w:r>
            <w:r>
              <w:rPr>
                <w:rFonts w:ascii="FreeSerif" w:hAnsi="FreeSerif" w:eastAsia="FreeSerif" w:cs="FreeSerif"/>
                <w:sz w:val="24"/>
                <w:szCs w:val="24"/>
              </w:rPr>
              <w:t xml:space="preserve">,4</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1 488,5</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488</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20215001000000150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289</w:t>
            </w:r>
            <w:r>
              <w:rPr>
                <w:rFonts w:ascii="FreeSerif" w:hAnsi="FreeSerif" w:eastAsia="FreeSerif" w:cs="FreeSerif"/>
                <w:sz w:val="24"/>
                <w:szCs w:val="24"/>
              </w:rPr>
              <w:t xml:space="preserve">,3</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289</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289</w:t>
            </w:r>
            <w:r>
              <w:rPr>
                <w:rFonts w:ascii="FreeSerif" w:hAnsi="FreeSerif" w:eastAsia="FreeSerif" w:cs="FreeSerif"/>
                <w:sz w:val="24"/>
                <w:szCs w:val="24"/>
              </w:rPr>
              <w:t xml:space="preserve">,3</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289</w:t>
            </w:r>
            <w:r>
              <w:rPr>
                <w:rFonts w:ascii="FreeSerif" w:hAnsi="FreeSerif" w:eastAsia="FreeSerif" w:cs="FreeSerif"/>
                <w:sz w:val="24"/>
                <w:szCs w:val="24"/>
              </w:rPr>
              <w:t xml:space="preserve">,3</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на поддержку мер по обеспечению сбалансированности бюджетов</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20215002000000150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924</w:t>
            </w:r>
            <w:r>
              <w:rPr>
                <w:rFonts w:ascii="FreeSerif" w:hAnsi="FreeSerif" w:eastAsia="FreeSerif" w:cs="FreeSerif"/>
                <w:sz w:val="24"/>
                <w:szCs w:val="24"/>
              </w:rPr>
              <w:t xml:space="preserve">,2</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924</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924</w:t>
            </w:r>
            <w:r>
              <w:rPr>
                <w:rFonts w:ascii="FreeSerif" w:hAnsi="FreeSerif" w:eastAsia="FreeSerif" w:cs="FreeSerif"/>
                <w:sz w:val="24"/>
                <w:szCs w:val="24"/>
              </w:rPr>
              <w:t xml:space="preserve">,2</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924</w:t>
            </w:r>
            <w:r>
              <w:rPr>
                <w:rFonts w:ascii="FreeSerif" w:hAnsi="FreeSerif" w:eastAsia="FreeSerif" w:cs="FreeSerif"/>
                <w:sz w:val="24"/>
                <w:szCs w:val="24"/>
              </w:rPr>
              <w:t xml:space="preserve">,2</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 из бюджетов муниципальных районов, городских округов с внутригородским делением</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20216001000000150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275</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275</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275</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275</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145</w:t>
            </w:r>
            <w:r>
              <w:rPr>
                <w:rFonts w:ascii="FreeSerif" w:hAnsi="FreeSerif" w:eastAsia="FreeSerif" w:cs="FreeSerif"/>
                <w:sz w:val="24"/>
                <w:szCs w:val="24"/>
              </w:rPr>
              <w:t xml:space="preserve">,9</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145</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142</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280</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280</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280</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715</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715</w:t>
            </w:r>
            <w:r>
              <w:rPr>
                <w:rFonts w:ascii="FreeSerif" w:hAnsi="FreeSerif" w:eastAsia="FreeSerif" w:cs="FreeSerif"/>
                <w:sz w:val="24"/>
                <w:szCs w:val="24"/>
              </w:rPr>
              <w:t xml:space="preserve">,0</w:t>
            </w:r>
            <w:r>
              <w:rPr>
                <w:rFonts w:ascii="FreeSerif" w:hAnsi="FreeSerif" w:cs="FreeSerif"/>
                <w:sz w:val="24"/>
                <w:szCs w:val="24"/>
              </w:rPr>
            </w:r>
          </w:p>
        </w:tc>
      </w:tr>
      <w:tr>
        <w:tblPrEx/>
        <w:trPr>
          <w:trHeight w:val="300"/>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Поступления от денежных пожертвований, предоставляемых физическими</w:t>
            </w:r>
            <w:bookmarkStart w:id="0" w:name="_GoBack"/>
            <w:r>
              <w:rPr>
                <w:rFonts w:ascii="FreeSerif" w:hAnsi="FreeSerif" w:eastAsia="FreeSerif" w:cs="FreeSerif"/>
                <w:sz w:val="24"/>
                <w:szCs w:val="24"/>
              </w:rPr>
            </w:r>
            <w:bookmarkEnd w:id="0"/>
            <w:r>
              <w:rPr>
                <w:rFonts w:ascii="FreeSerif" w:hAnsi="FreeSerif" w:eastAsia="FreeSerif" w:cs="FreeSerif"/>
                <w:sz w:val="24"/>
                <w:szCs w:val="24"/>
              </w:rPr>
              <w:t xml:space="preserve"> лицами получателям средств бюджетов сельских поселений</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20705020100000150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25</w:t>
            </w:r>
            <w:r>
              <w:rPr>
                <w:rFonts w:ascii="FreeSerif" w:hAnsi="FreeSerif" w:eastAsia="FreeSerif" w:cs="FreeSerif"/>
                <w:sz w:val="24"/>
                <w:szCs w:val="24"/>
              </w:rPr>
              <w:t xml:space="preserve">,0</w:t>
            </w:r>
            <w:r>
              <w:rPr>
                <w:rFonts w:ascii="FreeSerif" w:hAnsi="FreeSerif" w:cs="FreeSerif"/>
                <w:sz w:val="24"/>
                <w:szCs w:val="24"/>
              </w:rPr>
            </w:r>
          </w:p>
        </w:tc>
      </w:tr>
      <w:tr>
        <w:tblPrEx/>
        <w:trPr>
          <w:trHeight w:val="579"/>
        </w:trPr>
        <w:tc>
          <w:tcPr>
            <w:tcW w:w="5387" w:type="dxa"/>
            <w:textDirection w:val="lrTb"/>
            <w:noWrap/>
          </w:tcPr>
          <w:p>
            <w:pPr>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p>
        </w:tc>
        <w:tc>
          <w:tcPr>
            <w:tcW w:w="2302" w:type="dxa"/>
            <w:textDirection w:val="lrTb"/>
            <w:noWrap/>
          </w:tcPr>
          <w:p>
            <w:pPr>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p>
        </w:tc>
        <w:tc>
          <w:tcPr>
            <w:tcW w:w="992"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690</w:t>
            </w:r>
            <w:r>
              <w:rPr>
                <w:rFonts w:ascii="FreeSerif" w:hAnsi="FreeSerif" w:eastAsia="FreeSerif" w:cs="FreeSerif"/>
                <w:sz w:val="24"/>
                <w:szCs w:val="24"/>
              </w:rPr>
              <w:t xml:space="preserve">,0</w:t>
            </w:r>
            <w:r>
              <w:rPr>
                <w:rFonts w:ascii="FreeSerif" w:hAnsi="FreeSerif" w:cs="FreeSerif"/>
                <w:sz w:val="24"/>
                <w:szCs w:val="24"/>
              </w:rPr>
            </w:r>
          </w:p>
        </w:tc>
        <w:tc>
          <w:tcPr>
            <w:tcW w:w="1026" w:type="dxa"/>
            <w:textDirection w:val="lrTb"/>
            <w:noWrap/>
          </w:tcPr>
          <w:p>
            <w:pPr>
              <w:jc w:val="right"/>
              <w:rPr>
                <w:rFonts w:ascii="FreeSerif" w:hAnsi="FreeSerif" w:cs="FreeSerif"/>
                <w:sz w:val="24"/>
                <w:szCs w:val="24"/>
              </w:rPr>
            </w:pPr>
            <w:r>
              <w:rPr>
                <w:rFonts w:ascii="FreeSerif" w:hAnsi="FreeSerif" w:eastAsia="FreeSerif" w:cs="FreeSerif"/>
                <w:sz w:val="24"/>
                <w:szCs w:val="24"/>
              </w:rPr>
              <w:t xml:space="preserve">690</w:t>
            </w:r>
            <w:r>
              <w:rPr>
                <w:rFonts w:ascii="FreeSerif" w:hAnsi="FreeSerif" w:eastAsia="FreeSerif" w:cs="FreeSerif"/>
                <w:sz w:val="24"/>
                <w:szCs w:val="24"/>
              </w:rPr>
              <w:t xml:space="preserve">,0</w:t>
            </w:r>
            <w:r>
              <w:rPr>
                <w:rFonts w:ascii="FreeSerif" w:hAnsi="FreeSerif" w:cs="FreeSerif"/>
                <w:sz w:val="24"/>
                <w:szCs w:val="24"/>
              </w:rPr>
            </w:r>
          </w:p>
        </w:tc>
      </w:tr>
    </w:tbl>
    <w:p>
      <w:pP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w:t>
      </w:r>
      <w:r>
        <w:rPr>
          <w:rFonts w:ascii="FreeSerif" w:hAnsi="FreeSerif" w:eastAsia="FreeSerif" w:cs="FreeSerif"/>
          <w:sz w:val="28"/>
          <w:szCs w:val="28"/>
        </w:rPr>
        <w:t xml:space="preserve"> </w:t>
      </w:r>
      <w:r>
        <w:rPr>
          <w:rFonts w:ascii="FreeSerif" w:hAnsi="FreeSerif" w:eastAsia="FreeSerif" w:cs="FreeSerif"/>
          <w:sz w:val="28"/>
          <w:szCs w:val="28"/>
        </w:rPr>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2</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F1204-B24B-4401-BBF8-85E71882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16</cp:revision>
  <dcterms:created xsi:type="dcterms:W3CDTF">2022-03-03T08:45:00Z</dcterms:created>
  <dcterms:modified xsi:type="dcterms:W3CDTF">2025-06-30T07:03:16Z</dcterms:modified>
</cp:coreProperties>
</file>