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cs="Arial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912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869543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64819" cy="579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5.60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12.12.2024 г.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1360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</w:r>
      <w:r>
        <w:rPr>
          <w:rFonts w:ascii="FreeSerif" w:hAnsi="FreeSerif" w:cs="FreeSerif"/>
          <w:color w:val="ffffff"/>
          <w:sz w:val="28"/>
          <w:szCs w:val="28"/>
        </w:rPr>
      </w:r>
      <w:r>
        <w:rPr>
          <w:rFonts w:ascii="FreeSerif" w:hAnsi="FreeSerif" w:cs="FreeSerif"/>
          <w:color w:val="ffffff"/>
          <w:sz w:val="28"/>
          <w:szCs w:val="28"/>
        </w:rPr>
      </w:r>
    </w:p>
    <w:p>
      <w:pPr>
        <w:pStyle w:val="79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ярмарки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9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станице Ленинградской, по  улице Крестьянской (кадастровый номер земельного участка 23:19:0106156:469) и переулку Базарному, 3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(кадастровый номер земельного участка 23:19:0106157:214)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5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5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796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края», </w:t>
      </w:r>
      <w:r>
        <w:rPr>
          <w:rFonts w:ascii="FreeSerif" w:hAnsi="FreeSerif" w:eastAsia="FreeSerif" w:cs="FreeSerif"/>
          <w:sz w:val="28"/>
          <w:szCs w:val="28"/>
        </w:rPr>
        <w:t xml:space="preserve">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 а также на основании заявления заместителя директора ООО «Форум» Клименко Вадима Владимировича от 28 ноября 2024 г. № 10162, </w:t>
      </w:r>
      <w:r>
        <w:rPr>
          <w:rFonts w:ascii="FreeSerif" w:hAnsi="FreeSerif" w:eastAsia="FreeSerif" w:cs="FreeSerif"/>
          <w:sz w:val="28"/>
          <w:szCs w:val="28"/>
        </w:rPr>
        <w:t xml:space="preserve">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станице Ленинградской, по улице Крестьянской (кадастровый номер земельного участка 23:19:0106156:469) и переулку Базарному, 3 (кадастровый номер земельного участка 23:19:0106157:214)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796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300.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ООО «Форум».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пер.Базарный, 3,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8-952-868-12-26.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Ленинградская,  улица Крестьянская (кадастровый номер земельного участка 23:19:0106156:469) и переулок Базарный, 3 (кадастровый номер земельного участка 23:19:0106157:214)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еженедельно, кроме понедельника и субботы, с 7:30 часов до 15:00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ООО «Форум»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принять меры по охране</w:t>
      </w:r>
      <w:r>
        <w:rPr>
          <w:rFonts w:ascii="FreeSerif" w:hAnsi="FreeSerif" w:eastAsia="FreeSerif" w:cs="FreeSerif"/>
          <w:sz w:val="28"/>
          <w:szCs w:val="28"/>
        </w:rPr>
        <w:t xml:space="preserve"> общественного порядка во время проведения ярмарки;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разместить в средствах массовой информации план мероприятий по организации ярмарки;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надлежащее санитарно-техническое состояние торговых мест на ярмарке.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прогнозирования и инвестиций администрации муниципального образования Ленинградский район (Романько Е.Д.) обеспечить размещение настоящего постановления 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Ленин</w:t>
      </w:r>
      <w:r>
        <w:rPr>
          <w:rFonts w:ascii="FreeSerif" w:hAnsi="FreeSerif" w:eastAsia="FreeSerif" w:cs="FreeSerif"/>
          <w:sz w:val="28"/>
          <w:szCs w:val="28"/>
        </w:rPr>
        <w:t xml:space="preserve">градский район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77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10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3 Char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61">
    <w:name w:val="Heading 4 Char"/>
    <w:basedOn w:val="783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83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3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3"/>
    <w:link w:val="797"/>
    <w:uiPriority w:val="10"/>
    <w:rPr>
      <w:sz w:val="48"/>
      <w:szCs w:val="48"/>
    </w:rPr>
  </w:style>
  <w:style w:type="character" w:styleId="768">
    <w:name w:val="Subtitle Char"/>
    <w:basedOn w:val="783"/>
    <w:link w:val="799"/>
    <w:uiPriority w:val="11"/>
    <w:rPr>
      <w:sz w:val="24"/>
      <w:szCs w:val="24"/>
    </w:rPr>
  </w:style>
  <w:style w:type="character" w:styleId="769">
    <w:name w:val="Quote Char"/>
    <w:link w:val="801"/>
    <w:uiPriority w:val="29"/>
    <w:rPr>
      <w:i/>
    </w:rPr>
  </w:style>
  <w:style w:type="character" w:styleId="770">
    <w:name w:val="Intense Quote Char"/>
    <w:link w:val="803"/>
    <w:uiPriority w:val="30"/>
    <w:rPr>
      <w:i/>
    </w:rPr>
  </w:style>
  <w:style w:type="character" w:styleId="771">
    <w:name w:val="Footnote Text Char"/>
    <w:link w:val="938"/>
    <w:uiPriority w:val="99"/>
    <w:rPr>
      <w:sz w:val="18"/>
    </w:rPr>
  </w:style>
  <w:style w:type="character" w:styleId="772">
    <w:name w:val="Endnote Text Char"/>
    <w:link w:val="941"/>
    <w:uiPriority w:val="99"/>
    <w:rPr>
      <w:sz w:val="20"/>
    </w:rPr>
  </w:style>
  <w:style w:type="paragraph" w:styleId="773" w:default="1">
    <w:name w:val="Normal"/>
    <w:qFormat/>
    <w:rPr>
      <w:sz w:val="24"/>
      <w:szCs w:val="24"/>
      <w:lang w:val="sr-Cyrl-CS"/>
    </w:rPr>
  </w:style>
  <w:style w:type="paragraph" w:styleId="774">
    <w:name w:val="Heading 1"/>
    <w:basedOn w:val="773"/>
    <w:next w:val="773"/>
    <w:link w:val="96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75">
    <w:name w:val="Heading 2"/>
    <w:basedOn w:val="773"/>
    <w:next w:val="773"/>
    <w:link w:val="963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776">
    <w:name w:val="Heading 3"/>
    <w:basedOn w:val="773"/>
    <w:next w:val="773"/>
    <w:link w:val="788"/>
    <w:qFormat/>
    <w:pPr>
      <w:keepNext/>
      <w:outlineLvl w:val="2"/>
    </w:pPr>
    <w:rPr>
      <w:sz w:val="28"/>
    </w:rPr>
  </w:style>
  <w:style w:type="paragraph" w:styleId="777">
    <w:name w:val="Heading 4"/>
    <w:basedOn w:val="773"/>
    <w:next w:val="773"/>
    <w:link w:val="789"/>
    <w:qFormat/>
    <w:pPr>
      <w:jc w:val="center"/>
      <w:keepNext/>
      <w:outlineLvl w:val="3"/>
    </w:pPr>
    <w:rPr>
      <w:sz w:val="28"/>
    </w:rPr>
  </w:style>
  <w:style w:type="paragraph" w:styleId="778">
    <w:name w:val="Heading 5"/>
    <w:basedOn w:val="773"/>
    <w:next w:val="773"/>
    <w:link w:val="790"/>
    <w:qFormat/>
    <w:pPr>
      <w:jc w:val="both"/>
      <w:keepNext/>
      <w:outlineLvl w:val="4"/>
    </w:pPr>
    <w:rPr>
      <w:sz w:val="28"/>
    </w:rPr>
  </w:style>
  <w:style w:type="paragraph" w:styleId="779">
    <w:name w:val="Heading 6"/>
    <w:basedOn w:val="773"/>
    <w:next w:val="77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792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781">
    <w:name w:val="Heading 8"/>
    <w:basedOn w:val="773"/>
    <w:next w:val="773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uiPriority w:val="34"/>
    <w:qFormat/>
    <w:pPr>
      <w:contextualSpacing/>
      <w:ind w:left="720"/>
    </w:pPr>
  </w:style>
  <w:style w:type="paragraph" w:styleId="796">
    <w:name w:val="No Spacing"/>
    <w:uiPriority w:val="1"/>
    <w:qFormat/>
    <w:rPr>
      <w:lang w:eastAsia="zh-CN"/>
    </w:rPr>
  </w:style>
  <w:style w:type="paragraph" w:styleId="797">
    <w:name w:val="Title"/>
    <w:basedOn w:val="773"/>
    <w:next w:val="773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link w:val="797"/>
    <w:uiPriority w:val="10"/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link w:val="799"/>
    <w:uiPriority w:val="11"/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73"/>
    <w:link w:val="956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06" w:customStyle="1">
    <w:name w:val="Header Char"/>
    <w:uiPriority w:val="99"/>
  </w:style>
  <w:style w:type="paragraph" w:styleId="807">
    <w:name w:val="Footer"/>
    <w:basedOn w:val="773"/>
    <w:link w:val="95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08" w:customStyle="1">
    <w:name w:val="Footer Char"/>
    <w:uiPriority w:val="99"/>
  </w:style>
  <w:style w:type="paragraph" w:styleId="809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7">
    <w:name w:val="Hyperlink"/>
    <w:uiPriority w:val="99"/>
    <w:semiHidden/>
    <w:unhideWhenUsed/>
    <w:rPr>
      <w:color w:val="0000ff"/>
      <w:u w:val="single"/>
    </w:rPr>
  </w:style>
  <w:style w:type="paragraph" w:styleId="938">
    <w:name w:val="footnote text"/>
    <w:basedOn w:val="773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773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73"/>
    <w:next w:val="773"/>
    <w:uiPriority w:val="39"/>
    <w:unhideWhenUsed/>
    <w:pPr>
      <w:spacing w:after="57"/>
    </w:pPr>
  </w:style>
  <w:style w:type="paragraph" w:styleId="945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46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47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48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49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50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51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52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  <w:rPr>
      <w:lang w:eastAsia="zh-CN"/>
    </w:rPr>
  </w:style>
  <w:style w:type="paragraph" w:styleId="954">
    <w:name w:val="table of figures"/>
    <w:basedOn w:val="773"/>
    <w:next w:val="773"/>
    <w:uiPriority w:val="99"/>
    <w:unhideWhenUsed/>
  </w:style>
  <w:style w:type="paragraph" w:styleId="955">
    <w:name w:val="Body Text"/>
    <w:basedOn w:val="773"/>
    <w:link w:val="958"/>
    <w:pPr>
      <w:jc w:val="both"/>
    </w:pPr>
    <w:rPr>
      <w:sz w:val="28"/>
      <w:lang w:val="en-US" w:eastAsia="en-US"/>
    </w:rPr>
  </w:style>
  <w:style w:type="character" w:styleId="956" w:customStyle="1">
    <w:name w:val="Верхний колонтитул Знак"/>
    <w:link w:val="805"/>
    <w:uiPriority w:val="99"/>
    <w:rPr>
      <w:sz w:val="24"/>
      <w:szCs w:val="24"/>
      <w:lang w:val="sr-Cyrl-CS"/>
    </w:rPr>
  </w:style>
  <w:style w:type="character" w:styleId="957" w:customStyle="1">
    <w:name w:val="Нижний колонтитул Знак"/>
    <w:link w:val="807"/>
    <w:uiPriority w:val="99"/>
    <w:rPr>
      <w:sz w:val="24"/>
      <w:szCs w:val="24"/>
      <w:lang w:val="sr-Cyrl-CS"/>
    </w:rPr>
  </w:style>
  <w:style w:type="character" w:styleId="958" w:customStyle="1">
    <w:name w:val="Основной текст Знак"/>
    <w:link w:val="955"/>
    <w:rPr>
      <w:sz w:val="28"/>
      <w:szCs w:val="24"/>
    </w:rPr>
  </w:style>
  <w:style w:type="paragraph" w:styleId="959">
    <w:name w:val="Balloon Text"/>
    <w:basedOn w:val="773"/>
    <w:semiHidden/>
    <w:rPr>
      <w:rFonts w:ascii="Tahoma" w:hAnsi="Tahoma" w:cs="Tahoma"/>
      <w:sz w:val="16"/>
      <w:szCs w:val="16"/>
    </w:rPr>
  </w:style>
  <w:style w:type="paragraph" w:styleId="960" w:customStyle="1">
    <w:name w:val="Название"/>
    <w:basedOn w:val="773"/>
    <w:link w:val="961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61" w:customStyle="1">
    <w:name w:val="Название Знак"/>
    <w:link w:val="960"/>
    <w:uiPriority w:val="99"/>
    <w:rPr>
      <w:rFonts w:eastAsia="Calibri"/>
      <w:sz w:val="24"/>
    </w:rPr>
  </w:style>
  <w:style w:type="character" w:styleId="962" w:customStyle="1">
    <w:name w:val="Заголовок 1 Знак"/>
    <w:link w:val="774"/>
    <w:rPr>
      <w:rFonts w:ascii="Arial" w:hAnsi="Arial" w:cs="Arial"/>
      <w:b/>
      <w:bCs/>
      <w:sz w:val="32"/>
      <w:szCs w:val="32"/>
    </w:rPr>
  </w:style>
  <w:style w:type="character" w:styleId="963" w:customStyle="1">
    <w:name w:val="Заголовок 2 Знак"/>
    <w:link w:val="775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64" w:customStyle="1">
    <w:name w:val="ConsPlusNormal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15</cp:revision>
  <dcterms:created xsi:type="dcterms:W3CDTF">2023-12-07T11:38:00Z</dcterms:created>
  <dcterms:modified xsi:type="dcterms:W3CDTF">2024-12-23T12:36:59Z</dcterms:modified>
  <cp:version>1048576</cp:version>
</cp:coreProperties>
</file>