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2                                                                                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 w:hanging="5529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spacing w:val="2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Критерии отнесения объектов контроля 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к категориям риска в рамках осуществления муниципального 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контроля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в сфере благоустройства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</w:r>
      <w:r>
        <w:rPr>
          <w:rFonts w:ascii="FreeSerif" w:hAnsi="FreeSerif" w:eastAsia="FreeSerif" w:cs="FreeSerif"/>
          <w:b/>
          <w:spacing w:val="2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на территории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ff0000"/>
          <w:sz w:val="28"/>
          <w:szCs w:val="28"/>
          <w:vertAlign w:val="superscript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bCs/>
          <w:color w:val="ff0000"/>
          <w:sz w:val="28"/>
          <w:szCs w:val="28"/>
          <w:vertAlign w:val="superscript"/>
        </w:rPr>
      </w:r>
      <w:r>
        <w:rPr>
          <w:rFonts w:ascii="FreeSerif" w:hAnsi="FreeSerif" w:eastAsia="FreeSerif" w:cs="FreeSerif"/>
          <w:b/>
          <w:bCs/>
          <w:color w:val="ff0000"/>
          <w:sz w:val="28"/>
          <w:szCs w:val="28"/>
          <w:vertAlign w:val="superscript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47"/>
        <w:gridCol w:w="102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 п/п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color w:val="auto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Объекты муниципального контроля 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в сфере благоустройства на 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территории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муниципального образования Ленинградский 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муниципальный округ Краснодарского края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Категория риска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1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Юридические лица, индивидуальные предприниматели, граждане при наличии в течение последних трех лет на дату принятия решения об отнесении деятельности юридического лица инди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видуального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предпринимателя, гражданина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в сфере благоустройства на территории 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муниципально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го образования Ленинградский муниципальный округ Краснодарского края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Средний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  <w:highlight w:val="yellow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риск</w:t>
            </w:r>
            <w:r>
              <w:rPr>
                <w:rFonts w:ascii="FreeSerif" w:hAnsi="FreeSerif" w:eastAsia="FreeSerif" w:cs="FreeSerif"/>
                <w:sz w:val="25"/>
                <w:szCs w:val="25"/>
                <w:highlight w:val="yellow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2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Юридические лица, индивидуальные пр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едприниматели, граж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дане при наличии в течение последних пяти лет на дату принятия решения об отнесении деятельности юридического лица, индивидуального предпринимателя, гражданина к категории риска предписания, выданного по итогам проведения плановой или внеплановой проверки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в сфере 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благоустройства </w:t>
            </w:r>
            <w:r>
              <w:rPr>
                <w:rFonts w:ascii="FreeSerif" w:hAnsi="FreeSerif" w:eastAsia="FreeSerif" w:cs="FreeSerif"/>
                <w:spacing w:val="2"/>
                <w:sz w:val="25"/>
                <w:szCs w:val="25"/>
              </w:rPr>
              <w:t xml:space="preserve">на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территории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муниципального образования </w:t>
            </w:r>
            <w:r>
              <w:rPr>
                <w:rFonts w:ascii="FreeSerif" w:hAnsi="FreeSerif" w:eastAsia="FreeSerif" w:cs="FreeSerif"/>
                <w:color w:val="auto"/>
                <w:sz w:val="25"/>
                <w:szCs w:val="25"/>
              </w:rPr>
              <w:t xml:space="preserve">Ленинградский муниципальный округ Краснодарского края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Умеренный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  <w:highlight w:val="yellow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риск</w:t>
            </w:r>
            <w:r>
              <w:rPr>
                <w:rFonts w:ascii="FreeSerif" w:hAnsi="FreeSerif" w:eastAsia="FreeSerif" w:cs="FreeSerif"/>
                <w:sz w:val="25"/>
                <w:szCs w:val="25"/>
                <w:highlight w:val="yellow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contextualSpacing/>
              <w:ind w:right="-142"/>
              <w:jc w:val="center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3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Юридические лица, индивидуальные предприниматели и граждане при отсутствии обстоятельств, указанных в пунктах 1, 2 настоящих критериев отнесения деятельности юридических лиц, индивидуальных предпринимателей и граждан к категориям риска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contextualSpacing/>
              <w:ind w:right="-142"/>
              <w:spacing w:line="240" w:lineRule="auto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5"/>
                <w:szCs w:val="25"/>
              </w:rPr>
              <w:t xml:space="preserve">Низкий риск</w:t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  <w:r>
              <w:rPr>
                <w:rFonts w:ascii="FreeSerif" w:hAnsi="FreeSerif" w:eastAsia="FreeSerif" w:cs="FreeSerif"/>
                <w:sz w:val="25"/>
                <w:szCs w:val="25"/>
              </w:rPr>
            </w:r>
          </w:p>
        </w:tc>
      </w:tr>
    </w:tbl>
    <w:p>
      <w:pPr>
        <w:contextualSpacing/>
        <w:ind w:right="-142" w:firstLine="709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left="0" w:right="-57" w:firstLine="0"/>
        <w:jc w:val="left"/>
        <w:spacing w:line="240" w:lineRule="auto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/>
          <w:color w:val="auto"/>
          <w:lang w:eastAsia="en-US"/>
        </w:rPr>
      </w:r>
      <w:r>
        <w:rPr>
          <w:rFonts w:ascii="FreeSerif" w:hAnsi="FreeSerif" w:eastAsia="FreeSerif" w:cs="FreeSerif"/>
          <w:color w:val="auto"/>
          <w:lang w:eastAsia="en-US"/>
        </w:rPr>
      </w:r>
    </w:p>
    <w:p>
      <w:pPr>
        <w:contextualSpacing/>
        <w:spacing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900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2025-05-11T13:48:23Z</dcterms:modified>
</cp:coreProperties>
</file>