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0" w:left="-142"/>
        <w:jc w:val="both"/>
      </w:pPr>
      <w:r>
        <w:t xml:space="preserve">                                                                                           Приложение 2</w:t>
      </w:r>
    </w:p>
    <w:p w14:paraId="04000000">
      <w:pPr>
        <w:widowControl w:val="1"/>
        <w:spacing w:line="240" w:lineRule="auto"/>
        <w:ind w:firstLine="0" w:left="6236"/>
        <w:jc w:val="left"/>
        <w:rPr>
          <w:b w:val="1"/>
          <w:sz w:val="27"/>
        </w:rPr>
      </w:pPr>
      <w:r>
        <w:rPr>
          <w:sz w:val="27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5000000">
      <w:pPr>
        <w:widowControl w:val="1"/>
        <w:spacing w:line="240" w:lineRule="atLeast"/>
        <w:ind/>
        <w:jc w:val="center"/>
        <w:rPr>
          <w:b w:val="1"/>
          <w:sz w:val="28"/>
        </w:rPr>
      </w:pPr>
    </w:p>
    <w:p w14:paraId="06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______________________ ТЕРРИТОРИАЛЬНОЕ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УПРАВЛЕНИЕ (ОТДЕЛ)</w:t>
      </w:r>
    </w:p>
    <w:p w14:paraId="07000000">
      <w:pPr>
        <w:widowControl w:val="1"/>
        <w:spacing w:line="24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АДМИНИСТРАЦИИ </w:t>
      </w:r>
      <w:r>
        <w:rPr>
          <w:b w:val="1"/>
          <w:sz w:val="28"/>
        </w:rPr>
        <w:t>ЛЕНИНГРАДСКОГО</w:t>
      </w:r>
      <w:r>
        <w:rPr>
          <w:b w:val="1"/>
          <w:sz w:val="28"/>
        </w:rPr>
        <w:t xml:space="preserve"> </w:t>
      </w:r>
    </w:p>
    <w:p w14:paraId="08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МУНИЦИПАЛЬНОГО ОКРУГА</w:t>
      </w:r>
    </w:p>
    <w:p w14:paraId="09000000">
      <w:pPr>
        <w:widowControl w:val="1"/>
        <w:ind/>
        <w:jc w:val="center"/>
        <w:rPr>
          <w:b w:val="1"/>
          <w:sz w:val="28"/>
        </w:rPr>
      </w:pPr>
    </w:p>
    <w:p w14:paraId="0A000000">
      <w:pPr>
        <w:widowControl w:val="1"/>
        <w:ind/>
        <w:jc w:val="center"/>
      </w:pPr>
      <w:r>
        <w:rPr>
          <w:b w:val="1"/>
          <w:sz w:val="28"/>
        </w:rPr>
        <w:t>СВИДЕТЕЛЬСТВО № ____</w:t>
      </w:r>
    </w:p>
    <w:p w14:paraId="0B000000">
      <w:pPr>
        <w:widowControl w:val="1"/>
        <w:ind/>
        <w:jc w:val="center"/>
        <w:rPr>
          <w:b w:val="0"/>
          <w:sz w:val="28"/>
          <w:u w:val="single"/>
        </w:rPr>
      </w:pPr>
      <w:r>
        <w:rPr>
          <w:b w:val="0"/>
          <w:sz w:val="28"/>
          <w:u w:val="single"/>
        </w:rPr>
        <w:t>о регистрации _______________________________ захоронения</w:t>
      </w:r>
    </w:p>
    <w:p w14:paraId="0C000000">
      <w:pPr>
        <w:widowControl w:val="1"/>
        <w:ind/>
        <w:jc w:val="center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указываются сведения о виде захоронения: «Одиночное»,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«Семейное», </w:t>
      </w:r>
    </w:p>
    <w:p w14:paraId="0D000000">
      <w:pPr>
        <w:widowControl w:val="1"/>
        <w:ind/>
        <w:jc w:val="center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«Родственное», </w:t>
      </w:r>
      <w:r>
        <w:rPr>
          <w:b w:val="0"/>
          <w:sz w:val="24"/>
          <w:u w:val="none"/>
        </w:rPr>
        <w:t>«Почетное» или «Воинское»)</w:t>
      </w:r>
    </w:p>
    <w:p w14:paraId="0E000000">
      <w:pPr>
        <w:widowControl w:val="1"/>
        <w:spacing w:line="240" w:lineRule="auto"/>
        <w:ind/>
        <w:jc w:val="center"/>
        <w:rPr>
          <w:b w:val="0"/>
          <w:sz w:val="24"/>
          <w:u w:val="none"/>
        </w:rPr>
      </w:pPr>
      <w:r>
        <w:rPr>
          <w:sz w:val="28"/>
        </w:rPr>
        <w:t>__________________________________</w:t>
      </w:r>
    </w:p>
    <w:p w14:paraId="0F000000">
      <w:pPr>
        <w:widowControl w:val="1"/>
        <w:ind/>
        <w:jc w:val="center"/>
        <w:rPr>
          <w:sz w:val="24"/>
        </w:rPr>
      </w:pPr>
      <w:r>
        <w:rPr>
          <w:sz w:val="24"/>
        </w:rPr>
        <w:t>(наименование населённого пункта)</w:t>
      </w:r>
    </w:p>
    <w:p w14:paraId="10000000">
      <w:pPr>
        <w:widowControl w:val="1"/>
        <w:spacing w:line="240" w:lineRule="auto"/>
        <w:ind/>
        <w:jc w:val="both"/>
        <w:rPr>
          <w:sz w:val="28"/>
        </w:rPr>
      </w:pPr>
    </w:p>
    <w:p w14:paraId="11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>Обще</w:t>
      </w:r>
      <w:r>
        <w:rPr>
          <w:sz w:val="28"/>
        </w:rPr>
        <w:t>ственное муниципальное кладбище___________________________________</w:t>
      </w:r>
    </w:p>
    <w:p w14:paraId="12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  <w:r>
        <w:rPr>
          <w:sz w:val="24"/>
        </w:rPr>
        <w:t xml:space="preserve">   </w:t>
      </w:r>
      <w:r>
        <w:rPr>
          <w:sz w:val="24"/>
        </w:rPr>
        <w:t xml:space="preserve">(наименование кладбища, где     </w:t>
      </w:r>
    </w:p>
    <w:p w14:paraId="13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14:paraId="14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4"/>
        </w:rPr>
        <w:t xml:space="preserve">                                                         осуществлено погребение)</w:t>
      </w:r>
    </w:p>
    <w:p w14:paraId="15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8"/>
        </w:rPr>
        <w:t>Выдан</w:t>
      </w:r>
      <w:r>
        <w:rPr>
          <w:sz w:val="28"/>
        </w:rPr>
        <w:t xml:space="preserve">о лицу, ответственному за место </w:t>
      </w:r>
      <w:r>
        <w:rPr>
          <w:sz w:val="28"/>
        </w:rPr>
        <w:t>захоронения _________________________</w:t>
      </w:r>
    </w:p>
    <w:p w14:paraId="16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(ФИО лица, взявшего на себя </w:t>
      </w:r>
    </w:p>
    <w:p w14:paraId="17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14:paraId="18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4"/>
        </w:rPr>
        <w:t xml:space="preserve">                                              обязанность </w:t>
      </w:r>
      <w:r>
        <w:rPr>
          <w:sz w:val="24"/>
        </w:rPr>
        <w:t>осуществить</w:t>
      </w:r>
      <w:r>
        <w:rPr>
          <w:sz w:val="24"/>
          <w:u w:val="none"/>
        </w:rPr>
        <w:t xml:space="preserve"> </w:t>
      </w:r>
      <w:r>
        <w:rPr>
          <w:sz w:val="24"/>
          <w:u w:val="none"/>
        </w:rPr>
        <w:t>погребение</w:t>
      </w:r>
      <w:r>
        <w:rPr>
          <w:sz w:val="24"/>
          <w:u w:val="none"/>
        </w:rPr>
        <w:t xml:space="preserve"> </w:t>
      </w:r>
      <w:r>
        <w:rPr>
          <w:sz w:val="24"/>
        </w:rPr>
        <w:t xml:space="preserve">умершего </w:t>
      </w:r>
    </w:p>
    <w:p w14:paraId="19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8"/>
        </w:rPr>
        <w:t>Сведения о регистрации захоронения умершего_____________________________</w:t>
      </w:r>
    </w:p>
    <w:p w14:paraId="1A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(ФИО захороненного лица)</w:t>
      </w:r>
    </w:p>
    <w:p w14:paraId="1B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__________________________________________________________________________________</w:t>
      </w:r>
    </w:p>
    <w:p w14:paraId="1C000000">
      <w:pPr>
        <w:widowControl w:val="1"/>
        <w:spacing w:line="240" w:lineRule="auto"/>
        <w:ind/>
        <w:jc w:val="both"/>
        <w:rPr>
          <w:sz w:val="24"/>
        </w:rPr>
      </w:pPr>
      <w:r>
        <w:rPr>
          <w:sz w:val="28"/>
        </w:rPr>
        <w:t>Дата рождения умершего:_________________</w:t>
      </w:r>
    </w:p>
    <w:p w14:paraId="1D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>Дата смерти:___________________</w:t>
      </w:r>
    </w:p>
    <w:p w14:paraId="1E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>Дата захоронения:_______________</w:t>
      </w:r>
    </w:p>
    <w:p w14:paraId="1F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  <w:u w:val="single"/>
        </w:rPr>
        <w:t>на общественном муниципальном кладбище</w:t>
      </w:r>
      <w:r>
        <w:rPr>
          <w:sz w:val="28"/>
          <w:u w:val="single"/>
        </w:rPr>
        <w:t xml:space="preserve">                                                             </w:t>
      </w:r>
      <w:r>
        <w:rPr>
          <w:sz w:val="28"/>
          <w:u w:val="single"/>
        </w:rPr>
        <w:t xml:space="preserve">, </w:t>
      </w:r>
    </w:p>
    <w:p w14:paraId="20000000">
      <w:pPr>
        <w:widowControl w:val="1"/>
        <w:spacing w:line="240" w:lineRule="auto"/>
        <w:ind/>
        <w:jc w:val="both"/>
        <w:rPr>
          <w:sz w:val="28"/>
          <w:u w:val="single"/>
        </w:rPr>
      </w:pPr>
      <w:r>
        <w:rPr>
          <w:sz w:val="28"/>
          <w:u w:val="single"/>
        </w:rPr>
        <w:t>Адрес:______________________________________________________________________________________________________________________________________</w:t>
      </w:r>
    </w:p>
    <w:p w14:paraId="21000000">
      <w:pPr>
        <w:widowControl w:val="1"/>
        <w:spacing w:line="240" w:lineRule="auto"/>
        <w:ind/>
        <w:jc w:val="both"/>
        <w:rPr>
          <w:sz w:val="28"/>
          <w:u w:val="single"/>
        </w:rPr>
      </w:pPr>
      <w:r>
        <w:rPr>
          <w:sz w:val="28"/>
          <w:u w:val="single"/>
        </w:rPr>
        <w:t>Р</w:t>
      </w:r>
      <w:r>
        <w:rPr>
          <w:sz w:val="28"/>
          <w:u w:val="single"/>
        </w:rPr>
        <w:t xml:space="preserve">азмер захоронения –   </w:t>
      </w:r>
      <w:r>
        <w:rPr>
          <w:sz w:val="28"/>
          <w:u w:val="single"/>
        </w:rPr>
        <w:t xml:space="preserve"> х  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>м</w:t>
      </w:r>
      <w:r>
        <w:rPr>
          <w:sz w:val="28"/>
        </w:rPr>
        <w:t>.</w:t>
      </w:r>
    </w:p>
    <w:p w14:paraId="22000000">
      <w:pPr>
        <w:widowControl w:val="1"/>
        <w:spacing w:line="240" w:lineRule="auto"/>
        <w:ind/>
        <w:jc w:val="both"/>
        <w:rPr>
          <w:sz w:val="28"/>
        </w:rPr>
      </w:pPr>
    </w:p>
    <w:p w14:paraId="23000000">
      <w:pPr>
        <w:widowControl w:val="1"/>
        <w:ind/>
        <w:jc w:val="both"/>
        <w:rPr>
          <w:sz w:val="28"/>
        </w:rPr>
      </w:pPr>
      <w:r>
        <w:rPr>
          <w:sz w:val="28"/>
        </w:rPr>
        <w:t>Начальник ________________</w:t>
      </w:r>
      <w:r>
        <w:rPr>
          <w:sz w:val="28"/>
        </w:rPr>
        <w:t xml:space="preserve"> </w:t>
      </w:r>
    </w:p>
    <w:p w14:paraId="24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территориального управления (отдела) </w:t>
      </w:r>
    </w:p>
    <w:p w14:paraId="25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администрации </w:t>
      </w:r>
      <w:r>
        <w:rPr>
          <w:sz w:val="28"/>
        </w:rPr>
        <w:t>Ленинградского</w:t>
      </w:r>
      <w:r>
        <w:rPr>
          <w:sz w:val="28"/>
        </w:rPr>
        <w:t xml:space="preserve">                          </w:t>
      </w:r>
    </w:p>
    <w:p w14:paraId="26000000">
      <w:pPr>
        <w:widowControl w:val="1"/>
        <w:ind/>
        <w:jc w:val="both"/>
        <w:rPr>
          <w:sz w:val="28"/>
        </w:rPr>
      </w:pPr>
      <w:r>
        <w:rPr>
          <w:sz w:val="28"/>
        </w:rPr>
        <w:t>муниципального округа                                                     _______________________</w:t>
      </w:r>
    </w:p>
    <w:p w14:paraId="27000000">
      <w:pPr>
        <w:widowControl w:val="1"/>
        <w:ind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ФИО                                      </w:t>
      </w:r>
    </w:p>
    <w:p w14:paraId="28000000">
      <w:pPr>
        <w:widowControl w:val="1"/>
        <w:spacing w:line="240" w:lineRule="auto"/>
        <w:ind/>
        <w:jc w:val="both"/>
        <w:rPr>
          <w:sz w:val="28"/>
        </w:rPr>
      </w:pPr>
      <w:r>
        <w:rPr>
          <w:sz w:val="28"/>
        </w:rPr>
        <w:t>Дата выдачи Свидетельства:</w:t>
      </w:r>
      <w:r>
        <w:rPr>
          <w:sz w:val="28"/>
        </w:rPr>
        <w:t xml:space="preserve">       </w:t>
      </w:r>
      <w:r>
        <w:rPr>
          <w:sz w:val="28"/>
        </w:rPr>
        <w:t xml:space="preserve">        </w:t>
      </w:r>
      <w:r>
        <w:rPr>
          <w:sz w:val="28"/>
        </w:rPr>
        <w:t xml:space="preserve">  </w:t>
      </w:r>
      <w:r>
        <w:rPr>
          <w:sz w:val="28"/>
        </w:rPr>
        <w:t xml:space="preserve">    </w:t>
      </w:r>
      <w:r>
        <w:rPr>
          <w:sz w:val="28"/>
        </w:rPr>
        <w:t xml:space="preserve">      </w:t>
      </w:r>
      <w:r>
        <w:rPr>
          <w:sz w:val="28"/>
        </w:rPr>
        <w:t xml:space="preserve">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  <w:u w:val="single"/>
        </w:rPr>
        <w:t xml:space="preserve">«     »                       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>год</w:t>
      </w:r>
      <w:r>
        <w:rPr>
          <w:sz w:val="28"/>
          <w:u w:val="single"/>
        </w:rPr>
        <w:t>а</w:t>
      </w:r>
    </w:p>
    <w:p w14:paraId="29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</w:p>
    <w:p w14:paraId="2A000000">
      <w:pPr>
        <w:widowControl w:val="1"/>
        <w:spacing w:line="240" w:lineRule="auto"/>
        <w:ind/>
        <w:jc w:val="both"/>
        <w:rPr>
          <w:b w:val="0"/>
          <w:sz w:val="28"/>
          <w:u w:val="none"/>
        </w:rPr>
      </w:pPr>
    </w:p>
    <w:p w14:paraId="2B000000">
      <w:pPr>
        <w:widowControl w:val="1"/>
        <w:spacing w:after="0" w:before="0" w:line="240" w:lineRule="auto"/>
        <w:ind w:firstLine="680" w:left="0" w:right="0"/>
        <w:jc w:val="both"/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</w:pP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1. В соответствии со ст. 18.2 Закона Краснодарского края от 4 февраля 2004 г. № 666-КЗ «О погребении и похоронном деле в Краснодарском крае» у</w:t>
      </w: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становка надмогильных сооружений (надгробий) и оград на кладбищах допускается только в границах предоставленны</w:t>
      </w: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  <w:u w:val="none"/>
        </w:rPr>
        <w:t>х</w:t>
      </w: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  <w:u w:val="none"/>
        </w:rPr>
        <w:t> </w:t>
      </w:r>
      <w:r>
        <w:rPr>
          <w:rFonts w:ascii="PT Serif" w:hAnsi="PT Serif"/>
          <w:b w:val="0"/>
          <w:i w:val="0"/>
          <w:caps w:val="0"/>
          <w:strike w:val="0"/>
          <w:color w:val="000000"/>
          <w:spacing w:val="0"/>
          <w:sz w:val="24"/>
          <w:u w:color="000000" w:val="none"/>
        </w:rPr>
        <w:fldChar w:fldCharType="begin"/>
      </w:r>
      <w:r>
        <w:rPr>
          <w:rFonts w:ascii="PT Serif" w:hAnsi="PT Serif"/>
          <w:b w:val="0"/>
          <w:i w:val="0"/>
          <w:caps w:val="0"/>
          <w:strike w:val="0"/>
          <w:color w:val="000000"/>
          <w:spacing w:val="0"/>
          <w:sz w:val="24"/>
          <w:u w:color="000000" w:val="none"/>
        </w:rPr>
        <w:instrText>HYPERLINK "https://internet.garant.ru/#/document/23940666/entry/211"</w:instrText>
      </w:r>
      <w:r>
        <w:rPr>
          <w:rFonts w:ascii="PT Serif" w:hAnsi="PT Serif"/>
          <w:b w:val="0"/>
          <w:i w:val="0"/>
          <w:caps w:val="0"/>
          <w:strike w:val="0"/>
          <w:color w:val="000000"/>
          <w:spacing w:val="0"/>
          <w:sz w:val="24"/>
          <w:u w:color="000000" w:val="none"/>
        </w:rPr>
        <w:fldChar w:fldCharType="separate"/>
      </w:r>
      <w:r>
        <w:rPr>
          <w:rFonts w:ascii="PT Serif" w:hAnsi="PT Serif"/>
          <w:b w:val="0"/>
          <w:i w:val="0"/>
          <w:caps w:val="0"/>
          <w:strike w:val="0"/>
          <w:color w:val="000000"/>
          <w:spacing w:val="0"/>
          <w:sz w:val="24"/>
          <w:u w:color="000000" w:val="none"/>
        </w:rPr>
        <w:t>мест захоронения</w:t>
      </w:r>
      <w:r>
        <w:rPr>
          <w:rFonts w:ascii="PT Serif" w:hAnsi="PT Serif"/>
          <w:b w:val="0"/>
          <w:i w:val="0"/>
          <w:caps w:val="0"/>
          <w:strike w:val="0"/>
          <w:color w:val="000000"/>
          <w:spacing w:val="0"/>
          <w:sz w:val="24"/>
          <w:u w:color="000000" w:val="none"/>
        </w:rPr>
        <w:fldChar w:fldCharType="end"/>
      </w: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  <w:u w:val="none"/>
        </w:rPr>
        <w:t>.</w:t>
      </w:r>
    </w:p>
    <w:p w14:paraId="2C000000">
      <w:pPr>
        <w:widowControl w:val="1"/>
        <w:spacing w:after="0" w:before="0" w:line="240" w:lineRule="auto"/>
        <w:ind w:firstLine="680" w:left="0" w:right="0"/>
        <w:jc w:val="both"/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</w:pP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Устанавливаемые надмогильные сооружения (надгробия) и ограды не должны иметь частей, выступающих за границы мест захоронения или нависающих над соседними. Высота склепа не должна превышать трех метров.</w:t>
      </w:r>
    </w:p>
    <w:p w14:paraId="2D000000">
      <w:pPr>
        <w:widowControl w:val="1"/>
        <w:spacing w:after="0" w:before="0" w:line="240" w:lineRule="auto"/>
        <w:ind w:firstLine="680" w:left="0" w:right="0"/>
        <w:jc w:val="both"/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</w:pP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Надмогильные сооружения (надгробия) и ограды, установленные за пределами мест захоронения, подлежат сносу.</w:t>
      </w:r>
    </w:p>
    <w:p w14:paraId="2E000000">
      <w:pPr>
        <w:widowControl w:val="1"/>
        <w:spacing w:after="0" w:before="0" w:line="240" w:lineRule="auto"/>
        <w:ind w:firstLine="680" w:left="0" w:right="0"/>
        <w:jc w:val="both"/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</w:pP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2. Монтаж, демонтаж, ремонт, замена надмогильных сооружений (надгробий) и оград осуществляются на основании письменного уведомления</w:t>
      </w: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PT Serif" w:hAnsi="PT Serif"/>
          <w:b w:val="0"/>
          <w:i w:val="0"/>
          <w:caps w:val="0"/>
          <w:strike w:val="0"/>
          <w:color w:val="000000"/>
          <w:spacing w:val="0"/>
          <w:sz w:val="24"/>
          <w:u w:color="000000" w:val="none"/>
        </w:rPr>
        <w:t>территориального управления (отдела) администрации</w:t>
      </w: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 xml:space="preserve"> при предъявлении лицом, на которое зарегистрировано место захоронения (или по его письменному поручению иным лицом), паспорта или иного документа, удостоверяющего личность, свидетельства о регистрации захоронения.</w:t>
      </w:r>
    </w:p>
    <w:p w14:paraId="2F000000">
      <w:pPr>
        <w:widowControl w:val="1"/>
        <w:spacing w:after="0" w:before="0" w:line="240" w:lineRule="auto"/>
        <w:ind w:firstLine="680" w:left="0" w:right="0"/>
        <w:jc w:val="both"/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</w:pPr>
      <w:r>
        <w:rPr>
          <w:rFonts w:ascii="PT Serif" w:hAnsi="PT Serif"/>
          <w:b w:val="0"/>
          <w:i w:val="0"/>
          <w:caps w:val="0"/>
          <w:color w:val="000000"/>
          <w:spacing w:val="0"/>
          <w:sz w:val="24"/>
        </w:rPr>
        <w:t>3. Надписи на надмогильных сооружениях (надгробиях) должны соответствовать сведениям о действительно захороненных в данном месте умерших.</w:t>
      </w:r>
    </w:p>
    <w:p w14:paraId="30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</w:p>
    <w:p w14:paraId="31000000">
      <w:pPr>
        <w:widowControl w:val="1"/>
        <w:spacing w:line="240" w:lineRule="auto"/>
        <w:ind/>
        <w:jc w:val="both"/>
        <w:rPr>
          <w:b w:val="0"/>
          <w:sz w:val="28"/>
          <w:u w:val="none"/>
        </w:rPr>
      </w:pPr>
      <w:r>
        <w:rPr>
          <w:b w:val="0"/>
          <w:sz w:val="28"/>
          <w:u w:val="none"/>
        </w:rPr>
        <w:t>С правилами монтажа, демонтажа, ремонта, замены надмогильных сооружений (надгробий), оград ознакомлен(а)_________________________________________</w:t>
      </w:r>
    </w:p>
    <w:p w14:paraId="32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</w:p>
    <w:p w14:paraId="33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</w:p>
    <w:p w14:paraId="34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_________________                                                                                            __________________________     </w:t>
      </w:r>
    </w:p>
    <w:p w14:paraId="35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       (дата)                                                                                                                               (подпись)</w:t>
      </w:r>
    </w:p>
    <w:p w14:paraId="36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</w:p>
    <w:p w14:paraId="37000000">
      <w:pPr>
        <w:widowControl w:val="1"/>
        <w:spacing w:line="240" w:lineRule="auto"/>
        <w:ind/>
        <w:jc w:val="both"/>
        <w:rPr>
          <w:b w:val="0"/>
          <w:sz w:val="22"/>
          <w:u w:val="none"/>
        </w:rPr>
      </w:pPr>
    </w:p>
    <w:p w14:paraId="38000000">
      <w:pPr>
        <w:widowControl w:val="1"/>
        <w:spacing w:line="240" w:lineRule="auto"/>
        <w:ind/>
        <w:jc w:val="both"/>
        <w:rPr>
          <w:rFonts w:ascii="PT Astra Serif" w:hAnsi="PT Astra Serif"/>
          <w:b w:val="0"/>
          <w:sz w:val="28"/>
          <w:u w:val="none"/>
        </w:rPr>
      </w:pPr>
      <w:r>
        <w:rPr>
          <w:rFonts w:ascii="PT Astra Serif" w:hAnsi="PT Astra Serif"/>
          <w:b w:val="0"/>
          <w:sz w:val="28"/>
          <w:u w:val="none"/>
        </w:rPr>
        <w:t>Заместитель главы</w:t>
      </w:r>
    </w:p>
    <w:p w14:paraId="39000000">
      <w:pPr>
        <w:widowControl w:val="1"/>
        <w:spacing w:line="240" w:lineRule="auto"/>
        <w:ind/>
        <w:jc w:val="both"/>
        <w:rPr>
          <w:rFonts w:ascii="PT Astra Serif" w:hAnsi="PT Astra Serif"/>
          <w:b w:val="0"/>
          <w:sz w:val="28"/>
          <w:u w:val="none"/>
        </w:rPr>
      </w:pPr>
      <w:r>
        <w:rPr>
          <w:rFonts w:ascii="PT Astra Serif" w:hAnsi="PT Astra Serif"/>
          <w:b w:val="0"/>
          <w:sz w:val="28"/>
          <w:u w:val="none"/>
        </w:rPr>
        <w:t>Ленинградского</w:t>
      </w:r>
    </w:p>
    <w:p w14:paraId="3A000000">
      <w:pPr>
        <w:widowControl w:val="1"/>
        <w:spacing w:line="240" w:lineRule="auto"/>
        <w:ind/>
        <w:jc w:val="both"/>
        <w:rPr>
          <w:rFonts w:ascii="PT Astra Serif" w:hAnsi="PT Astra Serif"/>
          <w:b w:val="0"/>
          <w:sz w:val="28"/>
          <w:u w:val="none"/>
        </w:rPr>
      </w:pPr>
      <w:r>
        <w:rPr>
          <w:rFonts w:ascii="PT Astra Serif" w:hAnsi="PT Astra Serif"/>
          <w:b w:val="0"/>
          <w:sz w:val="28"/>
          <w:u w:val="none"/>
        </w:rPr>
        <w:t>муниципального округа                                                                           С.Н. Шмаровоз</w:t>
      </w:r>
    </w:p>
    <w:sectPr>
      <w:headerReference r:id="rId1" w:type="even"/>
      <w:pgSz w:h="16838" w:orient="portrait" w:w="11906"/>
      <w:pgMar w:bottom="964" w:footer="1134" w:gutter="0" w:header="1134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  <w:rPr>
                              <w:rFonts w:ascii="XO Thames" w:hAnsi="XO Thames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Fonts w:ascii="XO Thames" w:hAnsi="XO Thames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Fonts w:ascii="XO Thames" w:hAnsi="XO Thames"/>
                              <w:color w:val="000000"/>
                              <w:spacing w:val="0"/>
                            </w:rPr>
                            <w:instrText>PAGE \* Arabic</w:instrText>
                          </w:r>
                          <w:r>
                            <w:rPr>
                              <w:rFonts w:ascii="XO Thames" w:hAnsi="XO Thames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Fonts w:ascii="XO Thames" w:hAnsi="XO Thames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ascii="XO Thames" w:hAnsi="XO Thames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evenAndOddHeaders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sz w:val="28"/>
    </w:rPr>
  </w:style>
  <w:style w:styleId="Style_3_ch" w:type="character">
    <w:name w:val="toc 2"/>
    <w:link w:val="Style_3"/>
    <w:rPr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left="1000"/>
    </w:pPr>
    <w:rPr>
      <w:sz w:val="28"/>
    </w:rPr>
  </w:style>
  <w:style w:styleId="Style_5_ch" w:type="character">
    <w:name w:val="toc 6"/>
    <w:link w:val="Style_5"/>
    <w:rPr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left="1200"/>
    </w:pPr>
    <w:rPr>
      <w:sz w:val="28"/>
    </w:rPr>
  </w:style>
  <w:style w:styleId="Style_6_ch" w:type="character">
    <w:name w:val="toc 7"/>
    <w:link w:val="Style_6"/>
    <w:rPr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widowControl w:val="1"/>
      <w:ind w:firstLine="851"/>
      <w:jc w:val="both"/>
    </w:pPr>
    <w:rPr>
      <w:sz w:val="22"/>
    </w:rPr>
  </w:style>
  <w:style w:styleId="Style_8_ch" w:type="character">
    <w:name w:val="Endnote"/>
    <w:link w:val="Style_8"/>
    <w:rPr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link w:val="Style_9"/>
    <w:rPr>
      <w:b w:val="1"/>
      <w:sz w:val="26"/>
    </w:rPr>
  </w:style>
  <w:style w:styleId="Style_10" w:type="paragraph">
    <w:name w:val="Обычный1"/>
    <w:link w:val="Style_10_ch"/>
    <w:rPr>
      <w:rFonts w:ascii="XO Thames" w:hAnsi="XO Thames"/>
      <w:sz w:val="28"/>
    </w:rPr>
  </w:style>
  <w:style w:styleId="Style_10_ch" w:type="character">
    <w:name w:val="Обычный1"/>
    <w:link w:val="Style_10"/>
    <w:rPr>
      <w:rFonts w:ascii="XO Thames" w:hAnsi="XO Thames"/>
      <w:sz w:val="28"/>
    </w:rPr>
  </w:style>
  <w:style w:styleId="Style_11" w:type="paragraph">
    <w:name w:val="toc 3"/>
    <w:next w:val="Style_2"/>
    <w:link w:val="Style_11_ch"/>
    <w:uiPriority w:val="39"/>
    <w:pPr>
      <w:widowControl w:val="1"/>
      <w:ind w:left="400"/>
    </w:pPr>
    <w:rPr>
      <w:sz w:val="28"/>
    </w:rPr>
  </w:style>
  <w:style w:styleId="Style_11_ch" w:type="character">
    <w:name w:val="toc 3"/>
    <w:link w:val="Style_11"/>
    <w:rPr>
      <w:sz w:val="28"/>
    </w:rPr>
  </w:style>
  <w:style w:styleId="Style_12" w:type="paragraph">
    <w:name w:val="Гиперссылка1"/>
    <w:link w:val="Style_12_ch"/>
    <w:rPr>
      <w:color w:val="0000FF"/>
      <w:u w:val="single"/>
    </w:rPr>
  </w:style>
  <w:style w:styleId="Style_12_ch" w:type="character">
    <w:name w:val="Гиперссылка1"/>
    <w:link w:val="Style_12"/>
    <w:rPr>
      <w:color w:val="0000FF"/>
      <w:u w:val="single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3_ch" w:type="character">
    <w:name w:val="heading 5"/>
    <w:link w:val="Style_13"/>
    <w:rPr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14_ch" w:type="character">
    <w:name w:val="heading 1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/>
      <w:jc w:val="both"/>
    </w:pPr>
    <w:rPr>
      <w:sz w:val="22"/>
    </w:rPr>
  </w:style>
  <w:style w:styleId="Style_16_ch" w:type="character">
    <w:name w:val="Footnote"/>
    <w:link w:val="Style_16"/>
    <w:rPr>
      <w:sz w:val="22"/>
    </w:rPr>
  </w:style>
  <w:style w:styleId="Style_17" w:type="paragraph">
    <w:name w:val="toc 1"/>
    <w:next w:val="Style_2"/>
    <w:link w:val="Style_17_ch"/>
    <w:uiPriority w:val="39"/>
    <w:rPr>
      <w:b w:val="1"/>
      <w:sz w:val="28"/>
    </w:rPr>
  </w:style>
  <w:style w:styleId="Style_17_ch" w:type="character">
    <w:name w:val="toc 1"/>
    <w:link w:val="Style_17"/>
    <w:rPr>
      <w:b w:val="1"/>
      <w:sz w:val="28"/>
    </w:rPr>
  </w:style>
  <w:style w:styleId="Style_1" w:type="paragraph">
    <w:name w:val="Header and Footer"/>
    <w:link w:val="Style_1_ch"/>
    <w:pPr>
      <w:widowControl w:val="1"/>
      <w:ind/>
      <w:jc w:val="both"/>
    </w:pPr>
    <w:rPr>
      <w:sz w:val="28"/>
    </w:rPr>
  </w:style>
  <w:style w:styleId="Style_1_ch" w:type="character">
    <w:name w:val="Header and Footer"/>
    <w:link w:val="Style_1"/>
    <w:rPr>
      <w:sz w:val="28"/>
    </w:rPr>
  </w:style>
  <w:style w:styleId="Style_18" w:type="paragraph">
    <w:name w:val="header"/>
    <w:basedOn w:val="Style_2"/>
    <w:link w:val="Style_18_ch"/>
    <w:pPr>
      <w:widowControl w:val="1"/>
      <w:tabs>
        <w:tab w:leader="none" w:pos="4677" w:val="center"/>
        <w:tab w:leader="none" w:pos="9355" w:val="right"/>
      </w:tabs>
      <w:ind/>
    </w:pPr>
  </w:style>
  <w:style w:styleId="Style_18_ch" w:type="character">
    <w:name w:val="header"/>
    <w:basedOn w:val="Style_2_ch"/>
    <w:link w:val="Style_18"/>
  </w:style>
  <w:style w:styleId="Style_19" w:type="paragraph">
    <w:name w:val="toc 9"/>
    <w:next w:val="Style_2"/>
    <w:link w:val="Style_19_ch"/>
    <w:uiPriority w:val="39"/>
    <w:pPr>
      <w:widowControl w:val="1"/>
      <w:ind w:left="1600"/>
    </w:pPr>
    <w:rPr>
      <w:sz w:val="28"/>
    </w:rPr>
  </w:style>
  <w:style w:styleId="Style_19_ch" w:type="character">
    <w:name w:val="toc 9"/>
    <w:link w:val="Style_19"/>
    <w:rPr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left="1400"/>
    </w:pPr>
    <w:rPr>
      <w:sz w:val="28"/>
    </w:rPr>
  </w:style>
  <w:style w:styleId="Style_20_ch" w:type="character">
    <w:name w:val="toc 8"/>
    <w:link w:val="Style_20"/>
    <w:rPr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left="800"/>
    </w:pPr>
    <w:rPr>
      <w:sz w:val="28"/>
    </w:rPr>
  </w:style>
  <w:style w:styleId="Style_21_ch" w:type="character">
    <w:name w:val="toc 5"/>
    <w:link w:val="Style_21"/>
    <w:rPr>
      <w:sz w:val="28"/>
    </w:rPr>
  </w:style>
  <w:style w:styleId="Style_22" w:type="paragraph">
    <w:name w:val="Balloon Text"/>
    <w:basedOn w:val="Style_2"/>
    <w:link w:val="Style_22_ch"/>
    <w:rPr>
      <w:rFonts w:ascii="Segoe UI" w:hAnsi="Segoe UI"/>
      <w:sz w:val="18"/>
    </w:rPr>
  </w:style>
  <w:style w:styleId="Style_22_ch" w:type="character">
    <w:name w:val="Balloon Text"/>
    <w:basedOn w:val="Style_2_ch"/>
    <w:link w:val="Style_22"/>
    <w:rPr>
      <w:rFonts w:ascii="Segoe UI" w:hAnsi="Segoe UI"/>
      <w:sz w:val="18"/>
    </w:rPr>
  </w:style>
  <w:style w:styleId="Style_23" w:type="paragraph">
    <w:name w:val="Subtitle"/>
    <w:next w:val="Style_2"/>
    <w:link w:val="Style_23_ch"/>
    <w:uiPriority w:val="11"/>
    <w:qFormat/>
    <w:pPr>
      <w:widowControl w:val="1"/>
      <w:ind/>
      <w:jc w:val="both"/>
    </w:pPr>
    <w:rPr>
      <w:i w:val="1"/>
    </w:rPr>
  </w:style>
  <w:style w:styleId="Style_23_ch" w:type="character">
    <w:name w:val="Subtitle"/>
    <w:link w:val="Style_23"/>
    <w:rPr>
      <w:i w:val="1"/>
    </w:rPr>
  </w:style>
  <w:style w:styleId="Style_24" w:type="paragraph">
    <w:name w:val="Title"/>
    <w:next w:val="Style_2"/>
    <w:link w:val="Style_24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4_ch" w:type="character">
    <w:name w:val="Title"/>
    <w:link w:val="Style_24"/>
    <w:rPr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25_ch" w:type="character">
    <w:name w:val="heading 4"/>
    <w:link w:val="Style_25"/>
    <w:rPr>
      <w:b w:val="1"/>
    </w:rPr>
  </w:style>
  <w:style w:styleId="Style_26" w:type="paragraph">
    <w:name w:val="heading 2"/>
    <w:next w:val="Style_2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26_ch" w:type="character">
    <w:name w:val="heading 2"/>
    <w:link w:val="Style_26"/>
    <w:rPr>
      <w:b w:val="1"/>
      <w:sz w:val="28"/>
    </w:rPr>
  </w:style>
  <w:style w:styleId="Style_27" w:type="paragraph">
    <w:name w:val="footer"/>
    <w:basedOn w:val="Style_2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2_ch"/>
    <w:link w:val="Style_27"/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2025-03-14T11:46:00Z</dcterms:created>
  <dcterms:modified xsi:type="dcterms:W3CDTF">2026-06-22T12:46:49Z</dcterms:modified>
</cp:coreProperties>
</file>